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pPr>
    </w:p>
    <w:p>
      <w:pPr>
        <w:spacing w:line="240" w:lineRule="auto"/>
        <w:ind w:firstLine="0" w:firstLineChars="0"/>
        <w:jc w:val="left"/>
      </w:pPr>
    </w:p>
    <w:p>
      <w:pPr>
        <w:spacing w:line="240" w:lineRule="auto"/>
        <w:ind w:firstLine="0" w:firstLineChars="0"/>
        <w:jc w:val="left"/>
      </w:pPr>
    </w:p>
    <w:p>
      <w:pPr>
        <w:ind w:firstLine="1920"/>
        <w:rPr>
          <w:rStyle w:val="71"/>
        </w:rPr>
      </w:pPr>
    </w:p>
    <w:p>
      <w:pPr>
        <w:spacing w:line="240" w:lineRule="auto"/>
        <w:ind w:firstLine="0" w:firstLineChars="0"/>
        <w:jc w:val="center"/>
        <w:rPr>
          <w:rFonts w:ascii="宋体" w:hAnsi="宋体"/>
        </w:rPr>
      </w:pPr>
      <w:r>
        <w:rPr>
          <w:rFonts w:ascii="宋体" w:hAnsi="宋体"/>
        </w:rPr>
        <w:object>
          <v:shape id="_x0000_i1025" o:spt="75" type="#_x0000_t75" style="height:78pt;width:303.5pt;" o:ole="t" filled="f" o:preferrelative="t" stroked="f" coordsize="21600,21600">
            <v:path/>
            <v:fill on="f" focussize="0,0"/>
            <v:stroke on="f" joinstyle="miter"/>
            <v:imagedata r:id="rId33" gain="69719f" blacklevel="1966f" grayscale="t" bilevel="t" o:title=""/>
            <o:lock v:ext="edit" aspectratio="t"/>
            <w10:wrap type="none"/>
            <w10:anchorlock/>
          </v:shape>
          <o:OLEObject Type="Embed" ProgID="图像.文件" ShapeID="_x0000_i1025" DrawAspect="Content" ObjectID="_1468075725" r:id="rId32">
            <o:LockedField>false</o:LockedField>
          </o:OLEObject>
        </w:object>
      </w:r>
    </w:p>
    <w:p>
      <w:pPr>
        <w:spacing w:line="240" w:lineRule="auto"/>
        <w:ind w:firstLine="0" w:firstLineChars="0"/>
        <w:jc w:val="center"/>
        <w:rPr>
          <w:rStyle w:val="45"/>
          <w:sz w:val="36"/>
          <w:szCs w:val="36"/>
        </w:rPr>
      </w:pPr>
    </w:p>
    <w:p>
      <w:pPr>
        <w:spacing w:line="240" w:lineRule="auto"/>
        <w:ind w:firstLine="0" w:firstLineChars="0"/>
        <w:jc w:val="center"/>
        <w:rPr>
          <w:rStyle w:val="63"/>
        </w:rPr>
      </w:pPr>
      <w:r>
        <w:rPr>
          <w:rStyle w:val="63"/>
          <w:rFonts w:hint="eastAsia"/>
        </w:rPr>
        <w:t>硕士专业学位论文</w:t>
      </w:r>
    </w:p>
    <w:p>
      <w:pPr>
        <w:spacing w:line="240" w:lineRule="auto"/>
        <w:ind w:firstLine="0" w:firstLineChars="0"/>
        <w:jc w:val="center"/>
        <w:rPr>
          <w:rStyle w:val="63"/>
        </w:rPr>
      </w:pPr>
    </w:p>
    <w:p>
      <w:pPr>
        <w:spacing w:line="240" w:lineRule="auto"/>
        <w:ind w:firstLine="0" w:firstLineChars="0"/>
        <w:rPr>
          <w:rStyle w:val="63"/>
        </w:rPr>
      </w:pPr>
    </w:p>
    <w:p>
      <w:pPr>
        <w:spacing w:line="240" w:lineRule="auto"/>
        <w:ind w:firstLine="0" w:firstLineChars="0"/>
        <w:jc w:val="center"/>
        <w:rPr>
          <w:rStyle w:val="56"/>
          <w:sz w:val="30"/>
          <w:szCs w:val="30"/>
        </w:rPr>
      </w:pPr>
      <w:r>
        <w:rPr>
          <w:rStyle w:val="56"/>
          <w:rFonts w:hint="eastAsia"/>
          <w:sz w:val="30"/>
          <w:szCs w:val="30"/>
        </w:rPr>
        <w:t>大规模基站网络</w:t>
      </w:r>
      <w:r>
        <w:rPr>
          <w:rStyle w:val="56"/>
          <w:sz w:val="30"/>
          <w:szCs w:val="30"/>
        </w:rPr>
        <w:t>流量模式挖掘和</w:t>
      </w:r>
      <w:r>
        <w:rPr>
          <w:rStyle w:val="56"/>
          <w:rFonts w:hint="eastAsia"/>
          <w:sz w:val="30"/>
          <w:szCs w:val="30"/>
        </w:rPr>
        <w:t>预测</w:t>
      </w:r>
      <w:bookmarkStart w:id="0" w:name="_Hlk502647834"/>
      <w:bookmarkEnd w:id="0"/>
    </w:p>
    <w:p>
      <w:pPr>
        <w:spacing w:line="240" w:lineRule="auto"/>
        <w:ind w:firstLine="0" w:firstLineChars="0"/>
        <w:jc w:val="center"/>
        <w:rPr>
          <w:rStyle w:val="56"/>
          <w:b/>
        </w:rPr>
      </w:pPr>
    </w:p>
    <w:p>
      <w:pPr>
        <w:spacing w:line="240" w:lineRule="auto"/>
        <w:ind w:firstLine="0" w:firstLineChars="0"/>
        <w:jc w:val="center"/>
        <w:rPr>
          <w:rStyle w:val="43"/>
        </w:rPr>
      </w:pPr>
      <w:r>
        <w:rPr>
          <w:rStyle w:val="43"/>
          <w:rFonts w:hint="eastAsia"/>
          <w:sz w:val="30"/>
          <w:szCs w:val="30"/>
        </w:rPr>
        <w:t>Mining and Predicting Traffic Patterns in a</w:t>
      </w:r>
      <w:r>
        <w:rPr>
          <w:rStyle w:val="43"/>
          <w:sz w:val="30"/>
          <w:szCs w:val="30"/>
        </w:rPr>
        <w:t xml:space="preserve"> </w:t>
      </w:r>
      <w:r>
        <w:rPr>
          <w:rStyle w:val="43"/>
          <w:rFonts w:hint="eastAsia"/>
          <w:sz w:val="30"/>
          <w:szCs w:val="30"/>
        </w:rPr>
        <w:t>Large-scale Base-Station Network</w:t>
      </w:r>
    </w:p>
    <w:p>
      <w:pPr>
        <w:spacing w:line="240" w:lineRule="auto"/>
        <w:ind w:firstLine="0" w:firstLineChars="0"/>
        <w:jc w:val="center"/>
        <w:rPr>
          <w:rStyle w:val="43"/>
        </w:rPr>
      </w:pPr>
    </w:p>
    <w:p>
      <w:pPr>
        <w:spacing w:line="240" w:lineRule="auto"/>
        <w:ind w:firstLine="0" w:firstLineChars="0"/>
        <w:jc w:val="center"/>
        <w:rPr>
          <w:rStyle w:val="43"/>
        </w:rPr>
      </w:pPr>
    </w:p>
    <w:p>
      <w:pPr>
        <w:spacing w:line="240" w:lineRule="auto"/>
        <w:ind w:firstLine="0" w:firstLineChars="0"/>
        <w:jc w:val="center"/>
        <w:rPr>
          <w:rStyle w:val="43"/>
        </w:rPr>
      </w:pPr>
    </w:p>
    <w:p>
      <w:pPr>
        <w:spacing w:line="240" w:lineRule="auto"/>
        <w:ind w:firstLine="0" w:firstLineChars="0"/>
        <w:jc w:val="center"/>
        <w:rPr>
          <w:rStyle w:val="43"/>
        </w:rPr>
      </w:pPr>
    </w:p>
    <w:p>
      <w:pPr>
        <w:spacing w:line="240" w:lineRule="auto"/>
        <w:ind w:firstLine="0" w:firstLineChars="0"/>
        <w:jc w:val="center"/>
        <w:rPr>
          <w:rStyle w:val="49"/>
          <w:rFonts w:ascii="宋体" w:hAnsi="宋体"/>
          <w:szCs w:val="28"/>
        </w:rPr>
      </w:pPr>
      <w:r>
        <w:rPr>
          <w:rStyle w:val="44"/>
          <w:rFonts w:hint="eastAsia" w:ascii="宋体" w:hAnsi="宋体"/>
          <w:sz w:val="28"/>
          <w:szCs w:val="28"/>
        </w:rPr>
        <w:t>作者：苏健</w:t>
      </w:r>
    </w:p>
    <w:p>
      <w:pPr>
        <w:ind w:firstLine="560"/>
        <w:rPr>
          <w:rStyle w:val="49"/>
        </w:rPr>
      </w:pPr>
    </w:p>
    <w:p>
      <w:pPr>
        <w:spacing w:line="240" w:lineRule="auto"/>
        <w:ind w:firstLine="0" w:firstLineChars="0"/>
        <w:jc w:val="center"/>
        <w:rPr>
          <w:rStyle w:val="44"/>
          <w:rFonts w:ascii="宋体" w:hAnsi="宋体"/>
          <w:sz w:val="28"/>
          <w:szCs w:val="28"/>
        </w:rPr>
      </w:pPr>
      <w:r>
        <w:rPr>
          <w:rStyle w:val="44"/>
          <w:rFonts w:hint="eastAsia" w:ascii="宋体" w:hAnsi="宋体"/>
          <w:sz w:val="28"/>
          <w:szCs w:val="28"/>
        </w:rPr>
        <w:t>导师：陈一帅</w:t>
      </w:r>
    </w:p>
    <w:p>
      <w:pPr>
        <w:spacing w:line="240" w:lineRule="auto"/>
        <w:ind w:firstLine="0" w:firstLineChars="0"/>
        <w:jc w:val="center"/>
      </w:pPr>
    </w:p>
    <w:p>
      <w:pPr>
        <w:spacing w:line="240" w:lineRule="auto"/>
        <w:ind w:firstLine="0" w:firstLineChars="0"/>
        <w:jc w:val="center"/>
      </w:pPr>
    </w:p>
    <w:p>
      <w:pPr>
        <w:spacing w:line="240" w:lineRule="auto"/>
        <w:ind w:firstLine="0" w:firstLineChars="0"/>
      </w:pP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rPr>
          <w:rStyle w:val="59"/>
          <w:szCs w:val="28"/>
        </w:rPr>
      </w:pPr>
      <w:r>
        <w:rPr>
          <w:rStyle w:val="59"/>
          <w:rFonts w:hint="eastAsia"/>
          <w:szCs w:val="28"/>
        </w:rPr>
        <w:t>北京交通大学</w:t>
      </w:r>
    </w:p>
    <w:p>
      <w:pPr>
        <w:spacing w:line="240" w:lineRule="auto"/>
        <w:ind w:firstLine="0" w:firstLineChars="0"/>
        <w:jc w:val="center"/>
        <w:rPr>
          <w:rStyle w:val="59"/>
          <w:b/>
          <w:sz w:val="30"/>
          <w:szCs w:val="30"/>
        </w:rPr>
      </w:pPr>
    </w:p>
    <w:p>
      <w:pPr>
        <w:spacing w:line="240" w:lineRule="auto"/>
        <w:ind w:firstLine="0" w:firstLineChars="0"/>
        <w:jc w:val="center"/>
        <w:rPr>
          <w:rStyle w:val="55"/>
          <w:rFonts w:ascii="宋体" w:hAnsi="宋体"/>
        </w:rPr>
      </w:pPr>
      <w:r>
        <w:rPr>
          <w:rFonts w:ascii="宋体" w:hAnsi="宋体"/>
        </w:rPr>
        <w:fldChar w:fldCharType="begin"/>
      </w:r>
      <w:r>
        <w:rPr>
          <w:rStyle w:val="55"/>
          <w:rFonts w:ascii="宋体" w:hAnsi="宋体"/>
        </w:rPr>
        <w:instrText xml:space="preserve"> </w:instrText>
      </w:r>
      <w:r>
        <w:rPr>
          <w:rStyle w:val="55"/>
          <w:rFonts w:hint="eastAsia" w:ascii="宋体" w:hAnsi="宋体"/>
        </w:rPr>
        <w:instrText xml:space="preserve">DATE \@ "yyyy年M月" \* MERGEFORMAT</w:instrText>
      </w:r>
      <w:r>
        <w:rPr>
          <w:rStyle w:val="55"/>
          <w:rFonts w:ascii="宋体" w:hAnsi="宋体"/>
        </w:rPr>
        <w:instrText xml:space="preserve"> </w:instrText>
      </w:r>
      <w:r>
        <w:rPr>
          <w:rFonts w:ascii="宋体" w:hAnsi="宋体"/>
        </w:rPr>
        <w:fldChar w:fldCharType="separate"/>
      </w:r>
      <w:r>
        <w:rPr>
          <w:rFonts w:ascii="宋体" w:hAnsi="宋体"/>
        </w:rPr>
        <w:t>2019年6月</w:t>
      </w:r>
      <w:r>
        <w:rPr>
          <w:rFonts w:ascii="宋体" w:hAnsi="宋体"/>
        </w:rPr>
        <w:fldChar w:fldCharType="end"/>
      </w:r>
    </w:p>
    <w:p>
      <w:pPr>
        <w:spacing w:line="240" w:lineRule="auto"/>
        <w:ind w:firstLine="0" w:firstLineChars="0"/>
        <w:jc w:val="center"/>
        <w:rPr>
          <w:rStyle w:val="55"/>
        </w:rPr>
        <w:sectPr>
          <w:headerReference r:id="rId5" w:type="first"/>
          <w:footerReference r:id="rId8" w:type="first"/>
          <w:headerReference r:id="rId3" w:type="default"/>
          <w:footerReference r:id="rId6" w:type="default"/>
          <w:headerReference r:id="rId4" w:type="even"/>
          <w:footerReference r:id="rId7" w:type="even"/>
          <w:type w:val="continuous"/>
          <w:pgSz w:w="11907" w:h="16840"/>
          <w:pgMar w:top="1701" w:right="1418" w:bottom="1418" w:left="1418" w:header="907" w:footer="851" w:gutter="567"/>
          <w:paperSrc w:first="31096" w:other="31096"/>
          <w:pgNumType w:fmt="lowerRoman"/>
          <w:cols w:space="720" w:num="1"/>
          <w:docGrid w:type="lines" w:linePitch="312" w:charSpace="0"/>
        </w:sectPr>
      </w:pPr>
    </w:p>
    <w:p>
      <w:pPr>
        <w:pStyle w:val="28"/>
      </w:pPr>
      <w:bookmarkStart w:id="1" w:name="封2"/>
      <w:bookmarkEnd w:id="1"/>
      <w:r>
        <w:rPr>
          <w:rFonts w:hint="eastAsia"/>
        </w:rPr>
        <w:t>学位论文版权使用授权书</w:t>
      </w:r>
    </w:p>
    <w:p>
      <w:pPr>
        <w:ind w:firstLine="480"/>
      </w:pPr>
      <w:r>
        <w:rPr>
          <w:rFonts w:hint="eastAsia"/>
        </w:rPr>
        <w:t>本学位论文作者完全了解北京交通大学有关保留、使用学位论文的规定。特授权北京交通大学可以将学位论文的全部或部分内容编入有关数据库进行检索，提供阅览服务，并采用影印、缩印或扫描等复制手段保存、汇编以供查阅和借阅。同意学校向国家有关部门或机构送交论文的复印件和磁盘。学校可以为存在馆际合作关系的兄弟高校用户提供文献传递服务和交换服务。</w:t>
      </w:r>
    </w:p>
    <w:p>
      <w:pPr>
        <w:ind w:firstLine="480"/>
      </w:pPr>
      <w:r>
        <w:rPr>
          <w:rFonts w:hint="eastAsia"/>
        </w:rPr>
        <w:t>（保密的学位论文在解密后适用本授权说明）</w:t>
      </w:r>
    </w:p>
    <w:p>
      <w:pPr>
        <w:ind w:firstLine="480"/>
      </w:pPr>
    </w:p>
    <w:p>
      <w:pPr>
        <w:ind w:firstLine="480"/>
      </w:pPr>
    </w:p>
    <w:p>
      <w:pPr>
        <w:ind w:firstLine="480"/>
      </w:pPr>
    </w:p>
    <w:p>
      <w:pPr>
        <w:ind w:firstLine="480"/>
      </w:pPr>
    </w:p>
    <w:p>
      <w:pPr>
        <w:ind w:firstLine="480"/>
      </w:pPr>
    </w:p>
    <w:p>
      <w:pPr>
        <w:ind w:firstLine="480"/>
      </w:pPr>
      <w:r>
        <w:rPr>
          <w:rFonts w:hint="eastAsia"/>
        </w:rPr>
        <w:t>学位论文作者签名：                      导师签名：</w:t>
      </w:r>
    </w:p>
    <w:p>
      <w:pPr>
        <w:ind w:firstLine="480"/>
      </w:pPr>
    </w:p>
    <w:p>
      <w:pPr>
        <w:ind w:firstLine="480"/>
        <w:sectPr>
          <w:pgSz w:w="11907" w:h="16840"/>
          <w:pgMar w:top="1701" w:right="1418" w:bottom="1418" w:left="1418" w:header="907" w:footer="851" w:gutter="567"/>
          <w:paperSrc w:first="31096" w:other="31096"/>
          <w:pgNumType w:fmt="lowerRoman"/>
          <w:cols w:space="720" w:num="1"/>
          <w:docGrid w:type="lines" w:linePitch="312" w:charSpace="0"/>
        </w:sectPr>
      </w:pPr>
      <w:r>
        <w:rPr>
          <w:rFonts w:hint="eastAsia"/>
        </w:rPr>
        <w:t>签字日期：     年   月   日             签字日期：     年   月   日</w:t>
      </w:r>
    </w:p>
    <w:p>
      <w:pPr>
        <w:spacing w:line="240" w:lineRule="auto"/>
        <w:ind w:firstLine="0" w:firstLineChars="0"/>
        <w:jc w:val="left"/>
        <w:rPr>
          <w:rStyle w:val="68"/>
          <w:rFonts w:ascii="宋体" w:hAnsi="宋体"/>
        </w:rPr>
      </w:pPr>
      <w:bookmarkStart w:id="2" w:name="题名页"/>
      <w:bookmarkEnd w:id="2"/>
      <w:r>
        <w:rPr>
          <w:rStyle w:val="66"/>
          <w:rFonts w:hint="eastAsia" w:ascii="宋体" w:hAnsi="宋体"/>
        </w:rPr>
        <w:t>学校代码：</w:t>
      </w:r>
      <w:r>
        <w:rPr>
          <w:rStyle w:val="68"/>
          <w:rFonts w:hint="eastAsia" w:ascii="宋体" w:hAnsi="宋体"/>
        </w:rPr>
        <w:t>10004</w:t>
      </w:r>
    </w:p>
    <w:p>
      <w:pPr>
        <w:spacing w:line="240" w:lineRule="auto"/>
        <w:ind w:firstLine="0" w:firstLineChars="0"/>
        <w:jc w:val="left"/>
        <w:rPr>
          <w:rStyle w:val="74"/>
        </w:rPr>
        <w:sectPr>
          <w:footerReference r:id="rId9" w:type="default"/>
          <w:pgSz w:w="11907" w:h="16840"/>
          <w:pgMar w:top="1701" w:right="1418" w:bottom="1418" w:left="1418" w:header="907" w:footer="851" w:gutter="567"/>
          <w:paperSrc w:first="31096" w:other="31096"/>
          <w:pgNumType w:fmt="lowerRoman" w:start="1"/>
          <w:cols w:space="425" w:num="2"/>
          <w:docGrid w:type="lines" w:linePitch="312" w:charSpace="0"/>
        </w:sectPr>
      </w:pPr>
      <w:r>
        <w:rPr>
          <w:rStyle w:val="66"/>
          <w:rFonts w:hint="eastAsia" w:ascii="宋体" w:hAnsi="宋体"/>
        </w:rPr>
        <w:t xml:space="preserve">                         密级：</w:t>
      </w:r>
      <w:r>
        <w:rPr>
          <w:rFonts w:ascii="宋体" w:hAnsi="宋体"/>
        </w:rPr>
        <w:fldChar w:fldCharType="begin"/>
      </w:r>
      <w:r>
        <w:rPr>
          <w:rStyle w:val="74"/>
          <w:rFonts w:ascii="宋体" w:hAnsi="宋体"/>
        </w:rPr>
        <w:instrText xml:space="preserve"> </w:instrText>
      </w:r>
      <w:r>
        <w:rPr>
          <w:rStyle w:val="74"/>
          <w:rFonts w:hint="eastAsia" w:ascii="宋体" w:hAnsi="宋体"/>
        </w:rPr>
        <w:instrText xml:space="preserve">MACROBUTTON NoMacro 公开</w:instrText>
      </w:r>
      <w:r>
        <w:rPr>
          <w:rStyle w:val="74"/>
          <w:rFonts w:ascii="宋体" w:hAnsi="宋体"/>
        </w:rPr>
        <w:instrText xml:space="preserve"> </w:instrText>
      </w:r>
      <w:r>
        <w:rPr>
          <w:rFonts w:ascii="宋体" w:hAnsi="宋体"/>
        </w:rPr>
        <w:fldChar w:fldCharType="end"/>
      </w:r>
    </w:p>
    <w:p>
      <w:pPr>
        <w:spacing w:line="240" w:lineRule="auto"/>
        <w:ind w:firstLine="0" w:firstLineChars="0"/>
        <w:jc w:val="left"/>
        <w:rPr>
          <w:rStyle w:val="74"/>
        </w:rPr>
      </w:pPr>
    </w:p>
    <w:p>
      <w:pPr>
        <w:spacing w:line="240" w:lineRule="auto"/>
        <w:ind w:firstLine="0" w:firstLineChars="0"/>
        <w:jc w:val="left"/>
        <w:rPr>
          <w:rStyle w:val="74"/>
        </w:rPr>
      </w:pPr>
    </w:p>
    <w:p>
      <w:pPr>
        <w:spacing w:line="240" w:lineRule="auto"/>
        <w:ind w:firstLine="0" w:firstLineChars="0"/>
        <w:jc w:val="left"/>
        <w:rPr>
          <w:rStyle w:val="74"/>
        </w:rPr>
      </w:pPr>
    </w:p>
    <w:p>
      <w:pPr>
        <w:spacing w:line="240" w:lineRule="auto"/>
        <w:ind w:firstLine="0" w:firstLineChars="0"/>
        <w:jc w:val="center"/>
        <w:rPr>
          <w:rStyle w:val="70"/>
        </w:rPr>
      </w:pPr>
      <w:r>
        <w:rPr>
          <w:rStyle w:val="70"/>
          <w:rFonts w:hint="eastAsia"/>
        </w:rPr>
        <w:t>北京交通大学</w:t>
      </w:r>
    </w:p>
    <w:p>
      <w:pPr>
        <w:spacing w:line="240" w:lineRule="auto"/>
        <w:ind w:firstLine="0" w:firstLineChars="0"/>
        <w:jc w:val="center"/>
        <w:rPr>
          <w:rStyle w:val="53"/>
          <w:b/>
        </w:rPr>
      </w:pPr>
      <w:r>
        <w:rPr>
          <w:rStyle w:val="53"/>
          <w:rFonts w:hint="eastAsia"/>
          <w:b/>
        </w:rPr>
        <w:t>硕士专业学位论文</w:t>
      </w:r>
    </w:p>
    <w:p>
      <w:pPr>
        <w:spacing w:line="240" w:lineRule="auto"/>
        <w:ind w:firstLine="0" w:firstLineChars="0"/>
        <w:jc w:val="center"/>
        <w:rPr>
          <w:rStyle w:val="53"/>
        </w:rPr>
      </w:pPr>
    </w:p>
    <w:p>
      <w:pPr>
        <w:spacing w:line="240" w:lineRule="auto"/>
        <w:ind w:firstLine="0" w:firstLineChars="0"/>
        <w:jc w:val="center"/>
        <w:rPr>
          <w:rStyle w:val="53"/>
        </w:rPr>
      </w:pPr>
    </w:p>
    <w:p>
      <w:pPr>
        <w:spacing w:line="240" w:lineRule="auto"/>
        <w:ind w:firstLine="0" w:firstLineChars="0"/>
        <w:jc w:val="center"/>
        <w:rPr>
          <w:rStyle w:val="56"/>
          <w:sz w:val="30"/>
          <w:szCs w:val="30"/>
        </w:rPr>
      </w:pPr>
      <w:r>
        <w:rPr>
          <w:rStyle w:val="56"/>
          <w:rFonts w:hint="eastAsia"/>
          <w:sz w:val="30"/>
          <w:szCs w:val="30"/>
        </w:rPr>
        <w:t>大规模基站网络</w:t>
      </w:r>
      <w:r>
        <w:rPr>
          <w:rStyle w:val="56"/>
          <w:sz w:val="30"/>
          <w:szCs w:val="30"/>
        </w:rPr>
        <w:t>流量模式挖掘和</w:t>
      </w:r>
      <w:r>
        <w:rPr>
          <w:rStyle w:val="56"/>
          <w:rFonts w:hint="eastAsia"/>
          <w:sz w:val="30"/>
          <w:szCs w:val="30"/>
        </w:rPr>
        <w:t>预测</w:t>
      </w:r>
    </w:p>
    <w:p>
      <w:pPr>
        <w:spacing w:line="240" w:lineRule="auto"/>
        <w:ind w:firstLine="0" w:firstLineChars="0"/>
        <w:jc w:val="center"/>
        <w:rPr>
          <w:rStyle w:val="56"/>
          <w:b/>
        </w:rPr>
      </w:pPr>
    </w:p>
    <w:p>
      <w:pPr>
        <w:spacing w:line="240" w:lineRule="auto"/>
        <w:ind w:firstLine="0" w:firstLineChars="0"/>
        <w:jc w:val="center"/>
        <w:rPr>
          <w:rStyle w:val="43"/>
        </w:rPr>
      </w:pPr>
      <w:r>
        <w:rPr>
          <w:rStyle w:val="43"/>
          <w:rFonts w:hint="eastAsia"/>
          <w:sz w:val="30"/>
          <w:szCs w:val="30"/>
        </w:rPr>
        <w:t>Mining and Predicting Traffic Patterns in a</w:t>
      </w:r>
      <w:r>
        <w:rPr>
          <w:rStyle w:val="43"/>
          <w:sz w:val="30"/>
          <w:szCs w:val="30"/>
        </w:rPr>
        <w:t xml:space="preserve"> </w:t>
      </w:r>
      <w:r>
        <w:rPr>
          <w:rStyle w:val="43"/>
          <w:rFonts w:hint="eastAsia"/>
          <w:sz w:val="30"/>
          <w:szCs w:val="30"/>
        </w:rPr>
        <w:t>Large-scale Base-Station Network</w:t>
      </w:r>
    </w:p>
    <w:p>
      <w:pPr>
        <w:ind w:firstLine="600"/>
        <w:rPr>
          <w:rStyle w:val="73"/>
        </w:rPr>
      </w:pPr>
    </w:p>
    <w:p>
      <w:pPr>
        <w:ind w:firstLine="600"/>
        <w:rPr>
          <w:rStyle w:val="73"/>
        </w:rPr>
      </w:pPr>
    </w:p>
    <w:p>
      <w:pPr>
        <w:ind w:firstLine="600"/>
        <w:rPr>
          <w:rStyle w:val="73"/>
        </w:rPr>
      </w:pPr>
    </w:p>
    <w:p>
      <w:pPr>
        <w:spacing w:line="240" w:lineRule="auto"/>
        <w:ind w:firstLine="560"/>
        <w:jc w:val="left"/>
        <w:rPr>
          <w:rStyle w:val="46"/>
          <w:szCs w:val="28"/>
        </w:rPr>
      </w:pPr>
      <w:r>
        <w:rPr>
          <w:rStyle w:val="47"/>
          <w:rFonts w:hint="eastAsia" w:ascii="宋体" w:hAnsi="宋体"/>
          <w:szCs w:val="28"/>
        </w:rPr>
        <w:t>作者姓名：苏健</w:t>
      </w:r>
      <w:r>
        <w:rPr>
          <w:rStyle w:val="72"/>
          <w:rFonts w:hint="eastAsia" w:ascii="宋体" w:hAnsi="宋体"/>
          <w:szCs w:val="28"/>
        </w:rPr>
        <w:tab/>
      </w:r>
      <w:r>
        <w:rPr>
          <w:rStyle w:val="72"/>
          <w:rFonts w:hint="eastAsia" w:ascii="宋体" w:hAnsi="宋体"/>
          <w:szCs w:val="28"/>
        </w:rPr>
        <w:tab/>
      </w:r>
      <w:r>
        <w:rPr>
          <w:rStyle w:val="72"/>
          <w:rFonts w:hint="eastAsia" w:ascii="宋体" w:hAnsi="宋体"/>
          <w:szCs w:val="28"/>
        </w:rPr>
        <w:tab/>
      </w:r>
      <w:r>
        <w:rPr>
          <w:rStyle w:val="72"/>
          <w:rFonts w:hint="eastAsia" w:ascii="宋体" w:hAnsi="宋体"/>
          <w:szCs w:val="28"/>
        </w:rPr>
        <w:tab/>
      </w:r>
      <w:r>
        <w:rPr>
          <w:rStyle w:val="72"/>
          <w:rFonts w:hint="eastAsia" w:ascii="宋体" w:hAnsi="宋体"/>
          <w:szCs w:val="28"/>
        </w:rPr>
        <w:tab/>
      </w:r>
      <w:r>
        <w:rPr>
          <w:rStyle w:val="72"/>
          <w:rFonts w:hint="eastAsia" w:ascii="宋体" w:hAnsi="宋体"/>
          <w:szCs w:val="28"/>
        </w:rPr>
        <w:t xml:space="preserve">   </w:t>
      </w:r>
      <w:r>
        <w:rPr>
          <w:rStyle w:val="47"/>
          <w:rFonts w:hint="eastAsia" w:ascii="宋体" w:hAnsi="宋体"/>
          <w:szCs w:val="28"/>
        </w:rPr>
        <w:t>学    号：17125052</w:t>
      </w:r>
    </w:p>
    <w:p>
      <w:pPr>
        <w:ind w:firstLine="560"/>
        <w:jc w:val="left"/>
        <w:rPr>
          <w:rStyle w:val="72"/>
          <w:rFonts w:ascii="宋体" w:hAnsi="宋体"/>
          <w:szCs w:val="28"/>
        </w:rPr>
      </w:pPr>
    </w:p>
    <w:p>
      <w:pPr>
        <w:spacing w:line="240" w:lineRule="auto"/>
        <w:ind w:firstLine="560"/>
        <w:jc w:val="left"/>
        <w:rPr>
          <w:rStyle w:val="79"/>
          <w:rFonts w:ascii="宋体" w:hAnsi="宋体"/>
          <w:szCs w:val="28"/>
        </w:rPr>
      </w:pPr>
      <w:r>
        <w:rPr>
          <w:rStyle w:val="47"/>
          <w:rFonts w:hint="eastAsia" w:ascii="宋体" w:hAnsi="宋体"/>
          <w:szCs w:val="28"/>
        </w:rPr>
        <w:t>导师姓名：陈一帅</w:t>
      </w:r>
      <w:r>
        <w:rPr>
          <w:rStyle w:val="46"/>
          <w:szCs w:val="28"/>
        </w:rPr>
        <w:t xml:space="preserve">                </w:t>
      </w:r>
      <w:r>
        <w:rPr>
          <w:rStyle w:val="47"/>
          <w:rFonts w:hint="eastAsia" w:ascii="宋体" w:hAnsi="宋体"/>
          <w:szCs w:val="28"/>
        </w:rPr>
        <w:t>职    称：副教授</w:t>
      </w:r>
    </w:p>
    <w:p>
      <w:pPr>
        <w:ind w:firstLine="560"/>
        <w:jc w:val="left"/>
        <w:rPr>
          <w:rStyle w:val="75"/>
          <w:rFonts w:ascii="宋体" w:hAnsi="宋体"/>
          <w:szCs w:val="28"/>
        </w:rPr>
      </w:pPr>
    </w:p>
    <w:p>
      <w:pPr>
        <w:spacing w:line="240" w:lineRule="auto"/>
        <w:ind w:firstLine="560"/>
        <w:jc w:val="left"/>
        <w:rPr>
          <w:rStyle w:val="54"/>
          <w:rFonts w:ascii="宋体" w:hAnsi="宋体"/>
          <w:szCs w:val="28"/>
        </w:rPr>
      </w:pPr>
      <w:r>
        <w:rPr>
          <w:rStyle w:val="47"/>
          <w:rFonts w:hint="eastAsia" w:ascii="宋体" w:hAnsi="宋体"/>
          <w:szCs w:val="28"/>
        </w:rPr>
        <w:t>工程硕士专业领域：</w:t>
      </w:r>
      <w:r>
        <w:rPr>
          <w:rStyle w:val="69"/>
          <w:rFonts w:hint="eastAsia" w:ascii="宋体" w:hAnsi="宋体"/>
          <w:szCs w:val="28"/>
        </w:rPr>
        <w:t>电子与通信工程</w:t>
      </w:r>
      <w:r>
        <w:rPr>
          <w:rStyle w:val="47"/>
          <w:rFonts w:hint="eastAsia" w:ascii="宋体" w:hAnsi="宋体"/>
          <w:szCs w:val="28"/>
        </w:rPr>
        <w:t>学位级别：</w:t>
      </w:r>
      <w:r>
        <w:rPr>
          <w:rStyle w:val="57"/>
          <w:rFonts w:hint="eastAsia" w:ascii="宋体" w:hAnsi="宋体"/>
          <w:szCs w:val="28"/>
        </w:rPr>
        <w:t>硕士</w:t>
      </w:r>
    </w:p>
    <w:p>
      <w:pPr>
        <w:spacing w:line="240" w:lineRule="auto"/>
        <w:ind w:firstLine="0" w:firstLineChars="0"/>
        <w:jc w:val="left"/>
        <w:rPr>
          <w:rFonts w:ascii="宋体" w:hAnsi="宋体"/>
          <w:sz w:val="28"/>
          <w:szCs w:val="28"/>
        </w:rPr>
      </w:pPr>
      <w:bookmarkStart w:id="3" w:name="封3"/>
      <w:bookmarkEnd w:id="3"/>
    </w:p>
    <w:p>
      <w:pPr>
        <w:spacing w:line="240" w:lineRule="auto"/>
        <w:ind w:firstLine="0" w:firstLineChars="0"/>
        <w:jc w:val="left"/>
        <w:rPr>
          <w:highlight w:val="yellow"/>
        </w:rPr>
      </w:pPr>
    </w:p>
    <w:p>
      <w:pPr>
        <w:spacing w:line="240" w:lineRule="auto"/>
        <w:ind w:firstLine="0" w:firstLineChars="0"/>
        <w:jc w:val="left"/>
      </w:pPr>
    </w:p>
    <w:p>
      <w:pPr>
        <w:spacing w:line="240" w:lineRule="auto"/>
        <w:ind w:firstLine="0" w:firstLineChars="0"/>
        <w:jc w:val="left"/>
      </w:pPr>
    </w:p>
    <w:p>
      <w:pPr>
        <w:spacing w:line="240" w:lineRule="auto"/>
        <w:ind w:firstLine="0" w:firstLineChars="0"/>
        <w:jc w:val="left"/>
      </w:pPr>
    </w:p>
    <w:p>
      <w:pPr>
        <w:spacing w:line="240" w:lineRule="auto"/>
        <w:ind w:firstLine="0" w:firstLineChars="0"/>
        <w:jc w:val="left"/>
      </w:pPr>
    </w:p>
    <w:p>
      <w:pPr>
        <w:spacing w:line="240" w:lineRule="auto"/>
        <w:ind w:firstLine="0" w:firstLineChars="0"/>
        <w:jc w:val="left"/>
      </w:pPr>
    </w:p>
    <w:p>
      <w:pPr>
        <w:spacing w:line="240" w:lineRule="auto"/>
        <w:ind w:firstLine="0" w:firstLineChars="0"/>
        <w:jc w:val="left"/>
      </w:pPr>
    </w:p>
    <w:p>
      <w:pPr>
        <w:spacing w:line="240" w:lineRule="auto"/>
        <w:ind w:firstLine="0" w:firstLineChars="0"/>
        <w:jc w:val="left"/>
      </w:pPr>
    </w:p>
    <w:p>
      <w:pPr>
        <w:spacing w:line="240" w:lineRule="auto"/>
        <w:ind w:firstLine="0" w:firstLineChars="0"/>
        <w:jc w:val="left"/>
      </w:pPr>
    </w:p>
    <w:p>
      <w:pPr>
        <w:spacing w:line="240" w:lineRule="auto"/>
        <w:ind w:firstLine="0" w:firstLineChars="0"/>
        <w:jc w:val="left"/>
      </w:pPr>
    </w:p>
    <w:p>
      <w:pPr>
        <w:spacing w:line="240" w:lineRule="auto"/>
        <w:ind w:firstLine="0" w:firstLineChars="0"/>
        <w:jc w:val="left"/>
      </w:pPr>
    </w:p>
    <w:p>
      <w:pPr>
        <w:spacing w:line="240" w:lineRule="auto"/>
        <w:ind w:firstLine="0" w:firstLineChars="0"/>
        <w:jc w:val="left"/>
      </w:pPr>
    </w:p>
    <w:p>
      <w:pPr>
        <w:spacing w:line="240" w:lineRule="auto"/>
        <w:ind w:firstLine="0" w:firstLineChars="0"/>
        <w:jc w:val="center"/>
        <w:rPr>
          <w:rStyle w:val="77"/>
        </w:rPr>
      </w:pPr>
      <w:r>
        <w:rPr>
          <w:rStyle w:val="77"/>
          <w:rFonts w:hint="eastAsia"/>
        </w:rPr>
        <w:t>北京交通大学</w:t>
      </w:r>
    </w:p>
    <w:p>
      <w:pPr>
        <w:spacing w:line="240" w:lineRule="auto"/>
        <w:ind w:firstLine="0" w:firstLineChars="0"/>
        <w:jc w:val="center"/>
      </w:pPr>
    </w:p>
    <w:p>
      <w:pPr>
        <w:pStyle w:val="12"/>
        <w:ind w:left="1" w:leftChars="0" w:hanging="1" w:firstLineChars="0"/>
        <w:jc w:val="center"/>
        <w:rPr>
          <w:rStyle w:val="61"/>
          <w:rFonts w:ascii="宋体" w:hAnsi="宋体"/>
        </w:rPr>
      </w:pPr>
      <w:r>
        <w:rPr>
          <w:rStyle w:val="61"/>
          <w:rFonts w:ascii="宋体" w:hAnsi="宋体"/>
        </w:rPr>
        <w:fldChar w:fldCharType="begin"/>
      </w:r>
      <w:r>
        <w:rPr>
          <w:rStyle w:val="61"/>
          <w:rFonts w:ascii="宋体" w:hAnsi="宋体"/>
        </w:rPr>
        <w:instrText xml:space="preserve"> </w:instrText>
      </w:r>
      <w:r>
        <w:rPr>
          <w:rStyle w:val="61"/>
          <w:rFonts w:hint="eastAsia" w:ascii="宋体" w:hAnsi="宋体"/>
        </w:rPr>
        <w:instrText xml:space="preserve">DATE \@ "yyyy年M月" \* MERGEFORMAT</w:instrText>
      </w:r>
      <w:r>
        <w:rPr>
          <w:rStyle w:val="61"/>
          <w:rFonts w:ascii="宋体" w:hAnsi="宋体"/>
        </w:rPr>
        <w:instrText xml:space="preserve"> </w:instrText>
      </w:r>
      <w:r>
        <w:rPr>
          <w:rStyle w:val="61"/>
          <w:rFonts w:ascii="宋体" w:hAnsi="宋体"/>
        </w:rPr>
        <w:fldChar w:fldCharType="separate"/>
      </w:r>
      <w:r>
        <w:rPr>
          <w:rStyle w:val="61"/>
          <w:rFonts w:ascii="宋体" w:hAnsi="宋体"/>
        </w:rPr>
        <w:t>2019年6月</w:t>
      </w:r>
      <w:r>
        <w:rPr>
          <w:rStyle w:val="61"/>
          <w:rFonts w:ascii="宋体" w:hAnsi="宋体"/>
        </w:rPr>
        <w:fldChar w:fldCharType="end"/>
      </w:r>
    </w:p>
    <w:p>
      <w:pPr>
        <w:pStyle w:val="12"/>
        <w:ind w:left="1" w:leftChars="0" w:hanging="1" w:firstLineChars="0"/>
        <w:jc w:val="center"/>
        <w:rPr>
          <w:rStyle w:val="61"/>
          <w:rFonts w:ascii="宋体" w:hAnsi="宋体"/>
        </w:rPr>
      </w:pPr>
    </w:p>
    <w:p>
      <w:pPr>
        <w:ind w:firstLine="480"/>
      </w:pPr>
    </w:p>
    <w:p>
      <w:pPr>
        <w:pStyle w:val="28"/>
      </w:pPr>
      <w:r>
        <w:rPr>
          <w:rFonts w:hint="eastAsia"/>
        </w:rPr>
        <w:t>致谢</w:t>
      </w:r>
    </w:p>
    <w:p>
      <w:pPr>
        <w:ind w:firstLine="480"/>
      </w:pPr>
      <w:r>
        <w:rPr>
          <w:rFonts w:hint="eastAsia"/>
        </w:rPr>
        <w:t>本论文的研究工作是在我的导师陈一帅老师的悉心指导下完成的。陈一帅老师严谨的科学态度，积极探索和求真务实的科研精神深深感染了我。</w:t>
      </w:r>
      <w:r>
        <w:rPr>
          <w:rFonts w:ascii="宋体" w:hAnsi="宋体" w:cs="宋体"/>
        </w:rPr>
        <w:t>在学习中，</w:t>
      </w:r>
      <w:r>
        <w:rPr>
          <w:rFonts w:hint="eastAsia" w:ascii="宋体" w:hAnsi="宋体" w:cs="宋体"/>
        </w:rPr>
        <w:t>陈一帅</w:t>
      </w:r>
      <w:r>
        <w:rPr>
          <w:rFonts w:ascii="宋体" w:hAnsi="宋体" w:cs="宋体"/>
        </w:rPr>
        <w:t>老师丰富渊博的知识、敏锐的学术思维、精益求精的工作态度以及侮人不倦的师者风范是我终生学习的楷模，</w:t>
      </w:r>
      <w:r>
        <w:rPr>
          <w:rFonts w:hint="eastAsia" w:ascii="宋体" w:hAnsi="宋体" w:cs="宋体"/>
        </w:rPr>
        <w:t>这也对我今后的学习、工作生涯起到了重要的指引作用。</w:t>
      </w:r>
      <w:r>
        <w:rPr>
          <w:rFonts w:hint="eastAsia"/>
        </w:rPr>
        <w:t>在此衷心感谢两年来陈一帅老师对我生活、学习上的指导和关怀。</w:t>
      </w:r>
    </w:p>
    <w:p>
      <w:pPr>
        <w:ind w:firstLine="480"/>
      </w:pPr>
      <w:r>
        <w:rPr>
          <w:rFonts w:hint="eastAsia"/>
        </w:rPr>
        <w:t>衷心感谢郭宇春老师、赵永祥老师和实验室里的所有老师在我研究生学习阶段对我的无私帮助和关怀。特别感谢郭宇春老师和赵永祥老师对我论文的审阅并提出宝贵的修改意见，在老师们的帮助下，我不断完善论文内容并最终成功完成毕业论文。同时，</w:t>
      </w:r>
      <w:r>
        <w:rPr>
          <w:rFonts w:ascii="宋体" w:hAnsi="宋体" w:cs="宋体"/>
        </w:rPr>
        <w:t>导师们的高深精湛的造诣与严谨求实的治学精神，将永远激励着我</w:t>
      </w:r>
      <w:r>
        <w:rPr>
          <w:rFonts w:hint="eastAsia"/>
        </w:rPr>
        <w:t>，在此向各位老师表示诚挚的谢意。</w:t>
      </w:r>
    </w:p>
    <w:p>
      <w:pPr>
        <w:ind w:firstLine="480"/>
      </w:pPr>
      <w:r>
        <w:rPr>
          <w:rFonts w:hint="eastAsia"/>
        </w:rPr>
        <w:t>衷心感谢王雨师姐对我的支持与帮助。感谢她对论文的数据支持、科研问题的深刻讨论，对我完成论文提供了宝贵的指导意见。在此向王雨师姐表示衷心的感谢。</w:t>
      </w:r>
    </w:p>
    <w:p>
      <w:pPr>
        <w:ind w:firstLine="480"/>
      </w:pPr>
      <w:r>
        <w:rPr>
          <w:rFonts w:hint="eastAsia"/>
        </w:rPr>
        <w:t>衷心感谢唐伟康师兄、冯梦菲、艾方哲、王珍珠、曹中等同学在实验室工作和撰写论文期间对我的研究工作给予的热心帮助。在此向他们表示我的感谢之意。</w:t>
      </w:r>
    </w:p>
    <w:p>
      <w:pPr>
        <w:ind w:firstLine="480"/>
      </w:pPr>
      <w:r>
        <w:rPr>
          <w:rFonts w:hint="eastAsia"/>
        </w:rPr>
        <w:t>最后，特别感谢一直无微不至的关心、支持我的父母，正是他们对我不断的鼓励与默默地付出，才使得我有足够的信心与毅力克服科研途中的困难，并顺利地完成学业，成为社会有用之才。</w:t>
      </w:r>
    </w:p>
    <w:p>
      <w:pPr>
        <w:ind w:firstLine="480"/>
      </w:pPr>
    </w:p>
    <w:p>
      <w:pPr>
        <w:pStyle w:val="28"/>
        <w:sectPr>
          <w:type w:val="continuous"/>
          <w:pgSz w:w="11907" w:h="16840"/>
          <w:pgMar w:top="1701" w:right="1418" w:bottom="1418" w:left="1418" w:header="907" w:footer="851" w:gutter="567"/>
          <w:paperSrc w:first="31096" w:other="31096"/>
          <w:pgNumType w:fmt="lowerRoman"/>
          <w:cols w:space="720" w:num="1"/>
          <w:docGrid w:type="lines" w:linePitch="312" w:charSpace="0"/>
        </w:sectPr>
      </w:pPr>
    </w:p>
    <w:p>
      <w:pPr>
        <w:pStyle w:val="42"/>
      </w:pPr>
      <w:bookmarkStart w:id="4" w:name="_Toc7857984"/>
      <w:r>
        <w:rPr>
          <w:rFonts w:hint="eastAsia"/>
        </w:rPr>
        <w:t>摘要</w:t>
      </w:r>
      <w:bookmarkEnd w:id="4"/>
    </w:p>
    <w:p>
      <w:pPr>
        <w:ind w:firstLine="480"/>
      </w:pPr>
      <w:r>
        <w:rPr>
          <w:color w:val="000000"/>
          <w:szCs w:val="21"/>
        </w:rPr>
        <w:t>随着4G</w:t>
      </w:r>
      <w:r>
        <w:rPr>
          <w:rFonts w:hint="eastAsia"/>
          <w:color w:val="000000"/>
          <w:szCs w:val="21"/>
        </w:rPr>
        <w:t>无线</w:t>
      </w:r>
      <w:r>
        <w:rPr>
          <w:color w:val="000000"/>
          <w:szCs w:val="21"/>
        </w:rPr>
        <w:t>技术普及，</w:t>
      </w:r>
      <w:r>
        <w:rPr>
          <w:rFonts w:hint="eastAsia"/>
          <w:color w:val="000000"/>
          <w:szCs w:val="21"/>
        </w:rPr>
        <w:t>无线</w:t>
      </w:r>
      <w:r>
        <w:rPr>
          <w:color w:val="000000"/>
          <w:szCs w:val="21"/>
        </w:rPr>
        <w:t>基站</w:t>
      </w:r>
      <w:r>
        <w:rPr>
          <w:rFonts w:hint="eastAsia"/>
          <w:color w:val="000000"/>
          <w:szCs w:val="21"/>
        </w:rPr>
        <w:t>流量持续增加。</w:t>
      </w:r>
      <w:r>
        <w:rPr>
          <w:color w:val="000000"/>
          <w:szCs w:val="21"/>
        </w:rPr>
        <w:t>作为承载</w:t>
      </w:r>
      <w:r>
        <w:rPr>
          <w:rFonts w:hint="eastAsia"/>
          <w:color w:val="000000"/>
          <w:szCs w:val="21"/>
        </w:rPr>
        <w:t>无线</w:t>
      </w:r>
      <w:r>
        <w:rPr>
          <w:color w:val="000000"/>
          <w:szCs w:val="21"/>
        </w:rPr>
        <w:t>网络的基础设施，</w:t>
      </w:r>
      <w:r>
        <w:rPr>
          <w:szCs w:val="21"/>
        </w:rPr>
        <w:t>分析</w:t>
      </w:r>
      <w:r>
        <w:rPr>
          <w:rFonts w:hint="eastAsia"/>
        </w:rPr>
        <w:t>基站</w:t>
      </w:r>
      <w:r>
        <w:t>流量</w:t>
      </w:r>
      <w:r>
        <w:rPr>
          <w:rFonts w:hint="eastAsia"/>
          <w:color w:val="000000"/>
          <w:szCs w:val="21"/>
        </w:rPr>
        <w:t>的静态和动态特征、挖掘基站流量演变</w:t>
      </w:r>
      <w:r>
        <w:rPr>
          <w:color w:val="000000"/>
          <w:szCs w:val="21"/>
        </w:rPr>
        <w:t>模式</w:t>
      </w:r>
      <w:r>
        <w:rPr>
          <w:rFonts w:hint="eastAsia"/>
          <w:color w:val="000000"/>
          <w:szCs w:val="21"/>
        </w:rPr>
        <w:t>对无线基站的运营方案制定、参数合理配置</w:t>
      </w:r>
      <w:r>
        <w:rPr>
          <w:color w:val="000000"/>
          <w:szCs w:val="21"/>
        </w:rPr>
        <w:t>至关重要。目前</w:t>
      </w:r>
      <w:r>
        <w:rPr>
          <w:rFonts w:hint="eastAsia"/>
          <w:color w:val="000000"/>
          <w:szCs w:val="21"/>
        </w:rPr>
        <w:t>已有的测量和模型工作，聚焦在短时间粒度（如分钟、小时、天）</w:t>
      </w:r>
      <w:r>
        <w:rPr>
          <w:color w:val="000000"/>
          <w:szCs w:val="21"/>
        </w:rPr>
        <w:t>的</w:t>
      </w:r>
      <w:r>
        <w:rPr>
          <w:rFonts w:hint="eastAsia"/>
          <w:color w:val="000000"/>
          <w:szCs w:val="21"/>
        </w:rPr>
        <w:t>流量变化规律</w:t>
      </w:r>
      <w:r>
        <w:rPr>
          <w:color w:val="000000"/>
          <w:szCs w:val="21"/>
        </w:rPr>
        <w:t>，</w:t>
      </w:r>
      <w:r>
        <w:rPr>
          <w:rFonts w:hint="eastAsia"/>
          <w:color w:val="000000"/>
          <w:szCs w:val="21"/>
        </w:rPr>
        <w:t>至今尚</w:t>
      </w:r>
      <w:r>
        <w:t>缺少一个长时间尺度（如一年）</w:t>
      </w:r>
      <w:r>
        <w:rPr>
          <w:rFonts w:hint="eastAsia"/>
        </w:rPr>
        <w:t>的</w:t>
      </w:r>
      <w:r>
        <w:t>城市基站流量变化的准确测量和模式挖掘结果</w:t>
      </w:r>
      <w:r>
        <w:rPr>
          <w:rFonts w:hint="eastAsia"/>
        </w:rPr>
        <w:t>。</w:t>
      </w:r>
    </w:p>
    <w:p>
      <w:pPr>
        <w:ind w:firstLine="480"/>
      </w:pPr>
      <w:r>
        <w:rPr>
          <w:rFonts w:hint="eastAsia"/>
        </w:rPr>
        <w:t>为</w:t>
      </w:r>
      <w:r>
        <w:t>此</w:t>
      </w:r>
      <w:r>
        <w:rPr>
          <w:rFonts w:hint="eastAsia"/>
        </w:rPr>
        <w:t>，</w:t>
      </w:r>
      <w:r>
        <w:t>本文基于一个中国大型</w:t>
      </w:r>
      <w:r>
        <w:rPr>
          <w:rFonts w:hint="eastAsia"/>
        </w:rPr>
        <w:t>无线网络运营商在一个大型</w:t>
      </w:r>
      <w:r>
        <w:t>城市</w:t>
      </w:r>
      <w:r>
        <w:rPr>
          <w:rFonts w:hint="eastAsia"/>
        </w:rPr>
        <w:t>的基站网络的流量测量数据，对</w:t>
      </w:r>
      <w:r>
        <w:t>超过7千个基站、以月度为单位、持续一年的基站</w:t>
      </w:r>
      <w:r>
        <w:rPr>
          <w:rFonts w:hint="eastAsia"/>
        </w:rPr>
        <w:t>流量的静态和动态特征</w:t>
      </w:r>
      <w:r>
        <w:t>进行了观察与测量，</w:t>
      </w:r>
      <w:r>
        <w:rPr>
          <w:rFonts w:hint="eastAsia"/>
        </w:rPr>
        <w:t>并</w:t>
      </w:r>
      <w:r>
        <w:t>对基站流量的时间变化模式进行</w:t>
      </w:r>
      <w:r>
        <w:rPr>
          <w:rFonts w:hint="eastAsia"/>
        </w:rPr>
        <w:t>了</w:t>
      </w:r>
      <w:r>
        <w:t>聚类、分析和预测。本文贡献如下：</w:t>
      </w:r>
    </w:p>
    <w:p>
      <w:pPr>
        <w:ind w:firstLine="480"/>
        <w:rPr>
          <w:color w:val="000000"/>
        </w:rPr>
      </w:pPr>
      <w:r>
        <w:rPr>
          <w:rFonts w:hint="eastAsia"/>
          <w:color w:val="000000"/>
        </w:rPr>
        <w:t>(1</w:t>
      </w:r>
      <w:r>
        <w:rPr>
          <w:color w:val="000000"/>
        </w:rPr>
        <w:t xml:space="preserve">) </w:t>
      </w:r>
      <w:r>
        <w:rPr>
          <w:rFonts w:hint="eastAsia" w:ascii="宋体" w:hAnsi="宋体"/>
          <w:color w:val="000000"/>
        </w:rPr>
        <w:t>提出</w:t>
      </w:r>
      <w:r>
        <w:rPr>
          <w:rFonts w:ascii="宋体" w:hAnsi="宋体"/>
          <w:color w:val="000000"/>
        </w:rPr>
        <w:t>了一种新的</w:t>
      </w:r>
      <w:r>
        <w:rPr>
          <w:rFonts w:hint="eastAsia" w:ascii="宋体" w:hAnsi="宋体"/>
          <w:color w:val="000000"/>
        </w:rPr>
        <w:t>基站流</w:t>
      </w:r>
      <w:r>
        <w:rPr>
          <w:rFonts w:ascii="宋体" w:hAnsi="宋体"/>
          <w:color w:val="000000"/>
        </w:rPr>
        <w:t>量</w:t>
      </w:r>
      <w:r>
        <w:rPr>
          <w:rFonts w:hint="eastAsia" w:ascii="宋体" w:hAnsi="宋体"/>
          <w:color w:val="000000"/>
        </w:rPr>
        <w:t>演变</w:t>
      </w:r>
      <w:r>
        <w:rPr>
          <w:rFonts w:ascii="宋体" w:hAnsi="宋体"/>
          <w:color w:val="000000"/>
        </w:rPr>
        <w:t>模式</w:t>
      </w:r>
      <w:r>
        <w:rPr>
          <w:rFonts w:hint="eastAsia" w:ascii="宋体" w:hAnsi="宋体"/>
          <w:color w:val="000000"/>
        </w:rPr>
        <w:t>的聚类方法。该方法</w:t>
      </w:r>
      <w:r>
        <w:rPr>
          <w:rFonts w:ascii="宋体" w:hAnsi="宋体"/>
          <w:color w:val="000000"/>
        </w:rPr>
        <w:t>基于</w:t>
      </w:r>
      <w:r>
        <w:rPr>
          <w:rFonts w:hint="eastAsia" w:ascii="宋体" w:hAnsi="宋体"/>
          <w:color w:val="000000"/>
        </w:rPr>
        <w:t>基站</w:t>
      </w:r>
      <w:r>
        <w:rPr>
          <w:rFonts w:ascii="宋体" w:hAnsi="宋体"/>
          <w:color w:val="000000"/>
        </w:rPr>
        <w:t>月度总流量值在一年内</w:t>
      </w:r>
      <w:r>
        <w:rPr>
          <w:rFonts w:hint="eastAsia" w:ascii="宋体" w:hAnsi="宋体"/>
          <w:color w:val="000000"/>
        </w:rPr>
        <w:t>的</w:t>
      </w:r>
      <w:r>
        <w:rPr>
          <w:rFonts w:ascii="宋体" w:hAnsi="宋体"/>
          <w:color w:val="000000"/>
        </w:rPr>
        <w:t>排序</w:t>
      </w:r>
      <w:r>
        <w:rPr>
          <w:rFonts w:hint="eastAsia" w:ascii="宋体" w:hAnsi="宋体"/>
          <w:color w:val="000000"/>
        </w:rPr>
        <w:t>序列进行</w:t>
      </w:r>
      <w:r>
        <w:rPr>
          <w:rFonts w:ascii="宋体" w:hAnsi="宋体"/>
          <w:color w:val="000000"/>
        </w:rPr>
        <w:t>聚类</w:t>
      </w:r>
      <w:r>
        <w:rPr>
          <w:rFonts w:hint="eastAsia" w:ascii="宋体" w:hAnsi="宋体"/>
          <w:color w:val="000000"/>
        </w:rPr>
        <w:t>。在我们数据集上的实验结果表明：该</w:t>
      </w:r>
      <w:r>
        <w:rPr>
          <w:rFonts w:ascii="宋体" w:hAnsi="宋体"/>
          <w:color w:val="000000"/>
        </w:rPr>
        <w:t>方</w:t>
      </w:r>
      <w:r>
        <w:rPr>
          <w:rFonts w:hint="eastAsia" w:ascii="宋体" w:hAnsi="宋体"/>
          <w:color w:val="000000"/>
        </w:rPr>
        <w:t>法对</w:t>
      </w:r>
      <w:r>
        <w:rPr>
          <w:rFonts w:ascii="宋体" w:hAnsi="宋体"/>
          <w:color w:val="000000"/>
        </w:rPr>
        <w:t>短时间序列（不存在周期性）的</w:t>
      </w:r>
      <w:r>
        <w:rPr>
          <w:rFonts w:hint="eastAsia" w:ascii="宋体" w:hAnsi="宋体"/>
          <w:color w:val="000000"/>
        </w:rPr>
        <w:t>波形涨跌特点</w:t>
      </w:r>
      <w:r>
        <w:rPr>
          <w:rFonts w:ascii="宋体" w:hAnsi="宋体"/>
          <w:color w:val="000000"/>
        </w:rPr>
        <w:t>有很好的描述</w:t>
      </w:r>
      <w:r>
        <w:rPr>
          <w:rFonts w:hint="eastAsia" w:ascii="宋体" w:hAnsi="宋体"/>
          <w:color w:val="000000"/>
        </w:rPr>
        <w:t>，能得到比传统方法更容易理解的聚类结果。</w:t>
      </w:r>
    </w:p>
    <w:p>
      <w:pPr>
        <w:ind w:firstLine="480"/>
        <w:rPr>
          <w:color w:val="000000"/>
        </w:rPr>
      </w:pPr>
      <w:r>
        <w:rPr>
          <w:rFonts w:hint="eastAsia"/>
          <w:color w:val="000000"/>
        </w:rPr>
        <w:t>(2</w:t>
      </w:r>
      <w:r>
        <w:rPr>
          <w:color w:val="000000"/>
        </w:rPr>
        <w:t xml:space="preserve">) </w:t>
      </w:r>
      <w:r>
        <w:rPr>
          <w:rFonts w:hint="eastAsia" w:ascii="宋体" w:hAnsi="宋体"/>
          <w:color w:val="000000"/>
        </w:rPr>
        <w:t>基于该聚类方法，我们对运营商的</w:t>
      </w:r>
      <w:r>
        <w:rPr>
          <w:rFonts w:hint="eastAsia"/>
          <w:color w:val="000000"/>
        </w:rPr>
        <w:t>7</w:t>
      </w:r>
      <w:r>
        <w:rPr>
          <w:rFonts w:hint="eastAsia" w:ascii="宋体" w:hAnsi="宋体"/>
          <w:color w:val="000000"/>
        </w:rPr>
        <w:t>千多个基站的流量演变模式进行了大规模聚类分析，获得了</w:t>
      </w:r>
      <w:r>
        <w:rPr>
          <w:color w:val="000000"/>
        </w:rPr>
        <w:t>6</w:t>
      </w:r>
      <w:r>
        <w:rPr>
          <w:rFonts w:ascii="宋体" w:hAnsi="宋体"/>
          <w:color w:val="000000"/>
        </w:rPr>
        <w:t>种</w:t>
      </w:r>
      <w:r>
        <w:rPr>
          <w:rFonts w:hint="eastAsia" w:ascii="宋体" w:hAnsi="宋体"/>
          <w:color w:val="000000"/>
        </w:rPr>
        <w:t>典型基站</w:t>
      </w:r>
      <w:r>
        <w:rPr>
          <w:rFonts w:ascii="宋体" w:hAnsi="宋体"/>
          <w:color w:val="000000"/>
        </w:rPr>
        <w:t>流量</w:t>
      </w:r>
      <w:r>
        <w:rPr>
          <w:rFonts w:hint="eastAsia" w:ascii="宋体" w:hAnsi="宋体"/>
          <w:color w:val="000000"/>
        </w:rPr>
        <w:t>演变</w:t>
      </w:r>
      <w:r>
        <w:rPr>
          <w:rFonts w:ascii="宋体" w:hAnsi="宋体"/>
          <w:color w:val="000000"/>
        </w:rPr>
        <w:t>模式，最</w:t>
      </w:r>
      <w:r>
        <w:rPr>
          <w:rFonts w:hint="eastAsia" w:ascii="宋体" w:hAnsi="宋体"/>
          <w:color w:val="000000"/>
        </w:rPr>
        <w:t>主要</w:t>
      </w:r>
      <w:r>
        <w:rPr>
          <w:rFonts w:ascii="宋体" w:hAnsi="宋体"/>
          <w:color w:val="000000"/>
        </w:rPr>
        <w:t>的</w:t>
      </w:r>
      <w:r>
        <w:rPr>
          <w:rFonts w:hint="eastAsia" w:ascii="宋体" w:hAnsi="宋体"/>
          <w:color w:val="000000"/>
        </w:rPr>
        <w:t>一种</w:t>
      </w:r>
      <w:r>
        <w:rPr>
          <w:rFonts w:ascii="宋体" w:hAnsi="宋体"/>
          <w:color w:val="000000"/>
        </w:rPr>
        <w:t>流量模式</w:t>
      </w:r>
      <w:r>
        <w:rPr>
          <w:rFonts w:hint="eastAsia" w:ascii="宋体" w:hAnsi="宋体"/>
          <w:color w:val="000000"/>
        </w:rPr>
        <w:t>涵盖了</w:t>
      </w:r>
      <w:r>
        <w:rPr>
          <w:color w:val="000000"/>
        </w:rPr>
        <w:t>38.6%</w:t>
      </w:r>
      <w:r>
        <w:rPr>
          <w:rFonts w:hint="eastAsia" w:ascii="宋体" w:hAnsi="宋体"/>
          <w:color w:val="000000"/>
        </w:rPr>
        <w:t>的基站，特点为流量总体呈上升趋势，</w:t>
      </w:r>
      <w:r>
        <w:rPr>
          <w:rFonts w:hint="eastAsia"/>
          <w:color w:val="000000"/>
        </w:rPr>
        <w:t>11</w:t>
      </w:r>
      <w:r>
        <w:rPr>
          <w:rFonts w:hint="eastAsia" w:ascii="宋体" w:hAnsi="宋体"/>
          <w:color w:val="000000"/>
        </w:rPr>
        <w:t>月份达到高峰，次年</w:t>
      </w:r>
      <w:r>
        <w:rPr>
          <w:rFonts w:hint="eastAsia"/>
          <w:color w:val="000000"/>
        </w:rPr>
        <w:t>2</w:t>
      </w:r>
      <w:r>
        <w:rPr>
          <w:rFonts w:hint="eastAsia" w:ascii="宋体" w:hAnsi="宋体"/>
          <w:color w:val="000000"/>
        </w:rPr>
        <w:t>月降到低谷。其它模式包括：</w:t>
      </w:r>
      <w:r>
        <w:rPr>
          <w:color w:val="000000"/>
        </w:rPr>
        <w:t>“</w:t>
      </w:r>
      <w:r>
        <w:rPr>
          <w:rFonts w:ascii="宋体" w:hAnsi="宋体"/>
          <w:color w:val="000000"/>
        </w:rPr>
        <w:t>春节返乡</w:t>
      </w:r>
      <w:r>
        <w:rPr>
          <w:color w:val="000000"/>
        </w:rPr>
        <w:t>”</w:t>
      </w:r>
      <w:r>
        <w:rPr>
          <w:rFonts w:hint="eastAsia" w:ascii="宋体" w:hAnsi="宋体"/>
          <w:color w:val="000000"/>
        </w:rPr>
        <w:t>、</w:t>
      </w:r>
      <w:r>
        <w:rPr>
          <w:color w:val="000000"/>
        </w:rPr>
        <w:t xml:space="preserve"> “</w:t>
      </w:r>
      <w:r>
        <w:rPr>
          <w:rFonts w:ascii="宋体" w:hAnsi="宋体"/>
          <w:color w:val="000000"/>
        </w:rPr>
        <w:t>双</w:t>
      </w:r>
      <w:r>
        <w:rPr>
          <w:color w:val="000000"/>
        </w:rPr>
        <w:t>11”</w:t>
      </w:r>
      <w:r>
        <w:rPr>
          <w:rFonts w:ascii="宋体" w:hAnsi="宋体"/>
          <w:color w:val="000000"/>
        </w:rPr>
        <w:t>电商购物</w:t>
      </w:r>
      <w:r>
        <w:rPr>
          <w:rFonts w:hint="eastAsia" w:ascii="宋体" w:hAnsi="宋体"/>
          <w:color w:val="000000"/>
        </w:rPr>
        <w:t>模式等</w:t>
      </w:r>
      <w:r>
        <w:rPr>
          <w:rFonts w:ascii="宋体" w:hAnsi="宋体"/>
          <w:color w:val="000000"/>
        </w:rPr>
        <w:t>。</w:t>
      </w:r>
      <w:r>
        <w:rPr>
          <w:rFonts w:hint="eastAsia" w:ascii="宋体" w:hAnsi="宋体"/>
          <w:color w:val="000000"/>
        </w:rPr>
        <w:t>结合该城市的特点，我们对各模式的形成原因做出了解释，这些发现为运营商掌握其基站的流量演变的规律提供了有益的指导。</w:t>
      </w:r>
    </w:p>
    <w:p>
      <w:pPr>
        <w:ind w:firstLine="480"/>
        <w:rPr>
          <w:color w:val="000000"/>
        </w:rPr>
      </w:pPr>
      <w:r>
        <w:rPr>
          <w:rFonts w:hint="eastAsia"/>
          <w:color w:val="000000"/>
        </w:rPr>
        <w:t>(3</w:t>
      </w:r>
      <w:r>
        <w:rPr>
          <w:color w:val="000000"/>
        </w:rPr>
        <w:t xml:space="preserve">) </w:t>
      </w:r>
      <w:r>
        <w:rPr>
          <w:rFonts w:hint="eastAsia" w:ascii="宋体" w:hAnsi="宋体"/>
          <w:color w:val="000000"/>
        </w:rPr>
        <w:t>提出了一种基于基站地理位置和地址语义信息的基站模式预测方法，对一个</w:t>
      </w:r>
      <w:r>
        <w:rPr>
          <w:rFonts w:ascii="宋体" w:hAnsi="宋体"/>
          <w:color w:val="000000"/>
        </w:rPr>
        <w:t>新建基站</w:t>
      </w:r>
      <w:r>
        <w:rPr>
          <w:rFonts w:hint="eastAsia" w:ascii="宋体" w:hAnsi="宋体"/>
          <w:color w:val="000000"/>
        </w:rPr>
        <w:t>的</w:t>
      </w:r>
      <w:r>
        <w:rPr>
          <w:rFonts w:ascii="宋体" w:hAnsi="宋体"/>
          <w:color w:val="000000"/>
        </w:rPr>
        <w:t>流量模式</w:t>
      </w:r>
      <w:r>
        <w:rPr>
          <w:rFonts w:hint="eastAsia" w:ascii="宋体" w:hAnsi="宋体"/>
          <w:color w:val="000000"/>
        </w:rPr>
        <w:t>进行预测。因为新建基站的初</w:t>
      </w:r>
      <w:r>
        <w:rPr>
          <w:rFonts w:ascii="宋体" w:hAnsi="宋体"/>
          <w:color w:val="000000"/>
        </w:rPr>
        <w:t>始信息</w:t>
      </w:r>
      <w:r>
        <w:rPr>
          <w:rFonts w:hint="eastAsia" w:ascii="宋体" w:hAnsi="宋体"/>
          <w:color w:val="000000"/>
        </w:rPr>
        <w:t>很</w:t>
      </w:r>
      <w:r>
        <w:rPr>
          <w:rFonts w:ascii="宋体" w:hAnsi="宋体"/>
          <w:color w:val="000000"/>
        </w:rPr>
        <w:t>少</w:t>
      </w:r>
      <w:r>
        <w:rPr>
          <w:rFonts w:hint="eastAsia" w:ascii="宋体" w:hAnsi="宋体"/>
          <w:color w:val="000000"/>
        </w:rPr>
        <w:t>，预测困难，因此</w:t>
      </w:r>
      <w:r>
        <w:rPr>
          <w:rFonts w:ascii="宋体" w:hAnsi="宋体"/>
          <w:color w:val="000000"/>
        </w:rPr>
        <w:t>我们创</w:t>
      </w:r>
      <w:r>
        <w:rPr>
          <w:rFonts w:hint="eastAsia" w:ascii="宋体" w:hAnsi="宋体"/>
          <w:color w:val="000000"/>
        </w:rPr>
        <w:t>新</w:t>
      </w:r>
      <w:r>
        <w:rPr>
          <w:rFonts w:ascii="宋体" w:hAnsi="宋体"/>
          <w:color w:val="000000"/>
        </w:rPr>
        <w:t>性地将基站语义标签信息</w:t>
      </w:r>
      <w:r>
        <w:rPr>
          <w:rFonts w:hint="eastAsia" w:ascii="宋体" w:hAnsi="宋体"/>
          <w:color w:val="000000"/>
        </w:rPr>
        <w:t>引入到</w:t>
      </w:r>
      <w:r>
        <w:rPr>
          <w:rFonts w:ascii="宋体" w:hAnsi="宋体"/>
          <w:color w:val="000000"/>
        </w:rPr>
        <w:t>基站流量模式预测中。</w:t>
      </w:r>
      <w:r>
        <w:rPr>
          <w:rFonts w:hint="eastAsia" w:ascii="宋体" w:hAnsi="宋体"/>
          <w:color w:val="000000"/>
        </w:rPr>
        <w:t>实验结果表明：通过加入</w:t>
      </w:r>
      <w:r>
        <w:rPr>
          <w:rFonts w:ascii="宋体" w:hAnsi="宋体"/>
          <w:color w:val="000000"/>
        </w:rPr>
        <w:t>基站词向量表征</w:t>
      </w:r>
      <w:r>
        <w:rPr>
          <w:rFonts w:hint="eastAsia" w:ascii="宋体" w:hAnsi="宋体"/>
          <w:color w:val="000000"/>
        </w:rPr>
        <w:t>，预测模型的</w:t>
      </w:r>
      <w:r>
        <w:rPr>
          <w:color w:val="000000"/>
        </w:rPr>
        <w:t>F1-score</w:t>
      </w:r>
      <w:r>
        <w:rPr>
          <w:rFonts w:hint="eastAsia" w:ascii="宋体" w:hAnsi="宋体"/>
          <w:color w:val="000000"/>
        </w:rPr>
        <w:t>提升了</w:t>
      </w:r>
      <w:r>
        <w:rPr>
          <w:rFonts w:hint="eastAsia"/>
          <w:color w:val="000000"/>
        </w:rPr>
        <w:t>5</w:t>
      </w:r>
      <w:r>
        <w:rPr>
          <w:color w:val="000000"/>
        </w:rPr>
        <w:t>%</w:t>
      </w:r>
      <w:r>
        <w:rPr>
          <w:rFonts w:hint="eastAsia" w:ascii="宋体" w:hAnsi="宋体"/>
          <w:color w:val="000000"/>
        </w:rPr>
        <w:t>，其中两种模式的预测准确度较高。</w:t>
      </w:r>
    </w:p>
    <w:p>
      <w:pPr>
        <w:ind w:firstLine="480"/>
        <w:rPr>
          <w:color w:val="000000"/>
          <w:szCs w:val="21"/>
        </w:rPr>
      </w:pPr>
      <w:r>
        <w:rPr>
          <w:color w:val="000000"/>
          <w:szCs w:val="21"/>
        </w:rPr>
        <w:t>本文对</w:t>
      </w:r>
      <w:r>
        <w:rPr>
          <w:rFonts w:hint="eastAsia"/>
          <w:color w:val="000000"/>
          <w:szCs w:val="21"/>
        </w:rPr>
        <w:t>大规模实际基</w:t>
      </w:r>
      <w:r>
        <w:rPr>
          <w:color w:val="000000"/>
          <w:szCs w:val="21"/>
        </w:rPr>
        <w:t>站</w:t>
      </w:r>
      <w:r>
        <w:rPr>
          <w:rFonts w:hint="eastAsia"/>
          <w:color w:val="000000"/>
          <w:szCs w:val="21"/>
        </w:rPr>
        <w:t>网络流量的分析结果对于网络运营商有重要的实际价值，本文提出的长</w:t>
      </w:r>
      <w:r>
        <w:rPr>
          <w:color w:val="000000"/>
          <w:szCs w:val="21"/>
        </w:rPr>
        <w:t>期流量变化模式</w:t>
      </w:r>
      <w:r>
        <w:rPr>
          <w:rFonts w:hint="eastAsia"/>
          <w:color w:val="000000"/>
          <w:szCs w:val="21"/>
        </w:rPr>
        <w:t>模型、聚类算法、和预测算法，具有通用性，能够被应用于类似的各种应用场景，具有重要的理论价值和实际意义。</w:t>
      </w:r>
    </w:p>
    <w:p>
      <w:pPr>
        <w:ind w:firstLine="480"/>
        <w:rPr>
          <w:color w:val="000000"/>
          <w:szCs w:val="21"/>
        </w:rPr>
      </w:pPr>
      <w:r>
        <w:rPr>
          <w:rFonts w:hint="eastAsia"/>
          <w:color w:val="000000"/>
          <w:szCs w:val="21"/>
        </w:rPr>
        <w:t>图2</w:t>
      </w:r>
      <w:r>
        <w:rPr>
          <w:color w:val="000000"/>
          <w:szCs w:val="21"/>
        </w:rPr>
        <w:t>0</w:t>
      </w:r>
      <w:r>
        <w:rPr>
          <w:rFonts w:hint="eastAsia"/>
          <w:color w:val="000000"/>
          <w:szCs w:val="21"/>
        </w:rPr>
        <w:t>幅，表</w:t>
      </w:r>
      <w:r>
        <w:rPr>
          <w:color w:val="000000"/>
          <w:szCs w:val="21"/>
        </w:rPr>
        <w:t>8</w:t>
      </w:r>
      <w:r>
        <w:rPr>
          <w:rFonts w:hint="eastAsia"/>
          <w:color w:val="000000"/>
          <w:szCs w:val="21"/>
        </w:rPr>
        <w:t>个，参考文献43篇。</w:t>
      </w:r>
    </w:p>
    <w:p>
      <w:pPr>
        <w:ind w:firstLine="482"/>
        <w:sectPr>
          <w:headerReference r:id="rId10" w:type="default"/>
          <w:footerReference r:id="rId11" w:type="default"/>
          <w:pgSz w:w="11907" w:h="16840"/>
          <w:pgMar w:top="1701" w:right="1418" w:bottom="1418" w:left="1418" w:header="907" w:footer="851" w:gutter="567"/>
          <w:paperSrc w:first="31096" w:other="31096"/>
          <w:pgNumType w:fmt="lowerRoman"/>
          <w:cols w:space="720" w:num="1"/>
          <w:docGrid w:type="lines" w:linePitch="312" w:charSpace="0"/>
        </w:sectPr>
      </w:pPr>
      <w:r>
        <w:rPr>
          <w:b/>
        </w:rPr>
        <w:t>关键词：</w:t>
      </w:r>
      <w:bookmarkStart w:id="5" w:name="_Toc385763021"/>
      <w:bookmarkStart w:id="6" w:name="_Toc385763093"/>
      <w:bookmarkStart w:id="7" w:name="_Toc385763053"/>
      <w:bookmarkStart w:id="8" w:name="_Toc385763151"/>
      <w:bookmarkStart w:id="9" w:name="_Toc385762747"/>
      <w:r>
        <w:t>网络测量；模式挖掘；模式预测；机器</w:t>
      </w:r>
      <w:r>
        <w:rPr>
          <w:rFonts w:hint="eastAsia"/>
        </w:rPr>
        <w:t>学习</w:t>
      </w:r>
    </w:p>
    <w:p>
      <w:pPr>
        <w:pStyle w:val="42"/>
      </w:pPr>
      <w:bookmarkStart w:id="10" w:name="_Toc7857985"/>
      <w:r>
        <w:t>ABSTRACT</w:t>
      </w:r>
      <w:bookmarkEnd w:id="5"/>
      <w:bookmarkEnd w:id="6"/>
      <w:bookmarkEnd w:id="7"/>
      <w:bookmarkEnd w:id="8"/>
      <w:bookmarkEnd w:id="9"/>
      <w:bookmarkEnd w:id="10"/>
    </w:p>
    <w:p>
      <w:pPr>
        <w:ind w:firstLine="480"/>
      </w:pPr>
      <w:r>
        <w:rPr>
          <w:rFonts w:hint="eastAsia"/>
        </w:rPr>
        <w:t xml:space="preserve">With the popularization of 4G wireless technology, the traffic of wireless base station continues to increase. As the infrastructure of wireless network, it is very important to analyze the static and dynamic characteristics of base station traffic and excavate the evolving mode of base station traffic for the formulation of operation scheme and reasonable configuration of parameters of base station. </w:t>
      </w:r>
      <w:r>
        <w:t>At present, the existing measurement and model work focuses on the rule of traffic change in short time granularity (such as minute, hour, day). So far, there is no accurate measurement and pattern mining results of traffic change in a long time scale (such as one year) for urban base stations.</w:t>
      </w:r>
    </w:p>
    <w:p>
      <w:pPr>
        <w:ind w:firstLine="480"/>
      </w:pPr>
      <w:r>
        <w:t>Therefore, based on the traffic data of a large Chinese wireless network operator in a large city's base station network, this paper observes and measures the static and dynamic characteristics of base station traffic of more than 7,000 base stations in monthly units for one year, and clusters, analyses and predicts the time-varying patterns of base station traffic. The contributions of this paper are as follows:</w:t>
      </w:r>
    </w:p>
    <w:p>
      <w:pPr>
        <w:ind w:firstLine="480"/>
      </w:pPr>
      <w:r>
        <w:t>(1) A new clustering method for base station traffic evolution pattern is proposed. The method is based on the ranking sequence of the monthly total traffic value of the base station in one year. The experimental results on our data set show that this method can describe the fluctuation of waveform in short time series (without periodicity), and get clustering results that are easier to understand than traditional methods.</w:t>
      </w:r>
    </w:p>
    <w:p>
      <w:pPr>
        <w:ind w:firstLine="480"/>
      </w:pPr>
      <w:r>
        <w:t>(2) Based on this clustering method, we conducted a large-scale clustering analysis on the traffic evolution modes of more than 7,000 base stations of operators, and obtained six typical base station traffic evolution modes. The most important one covers 38.6% of the base stations, which is characterized by an overall upward trend of traffic, peaking in November and falling to a low in February next year. Other modes include "Spring Festival returns home" and "</w:t>
      </w:r>
      <w:r>
        <w:rPr>
          <w:rFonts w:hint="eastAsia"/>
        </w:rPr>
        <w:t>Double</w:t>
      </w:r>
      <w:r>
        <w:t xml:space="preserve"> 11" e-commerce shopping mode. Combining with the characteristics of the city, we explain the reasons for the formation of various modes. These findings provide useful guidance for operators to master the rules of traffic evolution of their base stations.</w:t>
      </w:r>
    </w:p>
    <w:p>
      <w:pPr>
        <w:ind w:firstLine="480"/>
      </w:pPr>
      <w:r>
        <w:t>(3) A base station mode prediction method based on the location and address semantics information of the base station is proposed to predict the traffic mode of a new base station. Because the initial information of the new base station is very little and the prediction is difficult, we innovatively introduce the base station semantic label information into the base station traffic mode prediction. The experimental results show that the F1-score of the prediction model is improved by 5% by adding base station word vector representation, and the prediction accuracy of the two models is higher.</w:t>
      </w:r>
    </w:p>
    <w:p>
      <w:pPr>
        <w:ind w:firstLine="480"/>
      </w:pPr>
      <w:r>
        <w:t>The analysis results of large-scale actual base station network traffic have important practical value for network operators. The long-term traffic change model, clustering algorithm and prediction algorithm proposed in this paper are universal and can be applied to similar application scenarios. They have important theoretical value and practical significance.</w:t>
      </w:r>
    </w:p>
    <w:p>
      <w:pPr>
        <w:ind w:firstLine="480"/>
      </w:pPr>
      <w:r>
        <w:t xml:space="preserve">Figure </w:t>
      </w:r>
      <w:r>
        <w:rPr>
          <w:rFonts w:hint="eastAsia"/>
        </w:rPr>
        <w:t>2</w:t>
      </w:r>
      <w:r>
        <w:t>0, table 8, reference 4</w:t>
      </w:r>
      <w:r>
        <w:rPr>
          <w:rFonts w:hint="eastAsia"/>
        </w:rPr>
        <w:t>3</w:t>
      </w:r>
      <w:r>
        <w:t>.</w:t>
      </w:r>
    </w:p>
    <w:p>
      <w:pPr>
        <w:ind w:firstLine="0" w:firstLineChars="0"/>
      </w:pPr>
      <w:r>
        <w:rPr>
          <w:b/>
          <w:bCs/>
        </w:rPr>
        <w:t>KEYWORDS：</w:t>
      </w:r>
      <w:r>
        <w:rPr>
          <w:rFonts w:hint="eastAsia"/>
          <w:b/>
          <w:bCs/>
        </w:rPr>
        <w:t>N</w:t>
      </w:r>
      <w:r>
        <w:t>etwork measurement;</w:t>
      </w:r>
      <w:r>
        <w:rPr>
          <w:rFonts w:hint="eastAsia"/>
        </w:rPr>
        <w:t xml:space="preserve"> </w:t>
      </w:r>
      <w:r>
        <w:t>pattern mining;</w:t>
      </w:r>
      <w:r>
        <w:rPr>
          <w:rFonts w:hint="eastAsia"/>
        </w:rPr>
        <w:t xml:space="preserve"> </w:t>
      </w:r>
      <w:r>
        <w:t>pattern prediction; machine learning</w:t>
      </w:r>
    </w:p>
    <w:p>
      <w:pPr>
        <w:ind w:firstLine="0" w:firstLineChars="0"/>
      </w:pPr>
    </w:p>
    <w:p>
      <w:pPr>
        <w:ind w:firstLine="480"/>
        <w:sectPr>
          <w:headerReference r:id="rId12" w:type="default"/>
          <w:pgSz w:w="11907" w:h="16840"/>
          <w:pgMar w:top="1701" w:right="1418" w:bottom="1418" w:left="1418" w:header="907" w:footer="851" w:gutter="567"/>
          <w:paperSrc w:first="31096" w:other="31096"/>
          <w:pgNumType w:fmt="lowerRoman"/>
          <w:cols w:space="720" w:num="1"/>
          <w:docGrid w:type="lines" w:linePitch="312" w:charSpace="0"/>
        </w:sectPr>
      </w:pPr>
    </w:p>
    <w:p>
      <w:pPr>
        <w:pStyle w:val="28"/>
      </w:pPr>
      <w:bookmarkStart w:id="11" w:name="中文摘要"/>
      <w:bookmarkEnd w:id="11"/>
      <w:r>
        <w:rPr>
          <w:rFonts w:hint="eastAsia"/>
        </w:rPr>
        <w:t>目录</w:t>
      </w:r>
    </w:p>
    <w:p>
      <w:pPr>
        <w:pStyle w:val="17"/>
        <w:tabs>
          <w:tab w:val="right" w:leader="dot" w:pos="8494"/>
        </w:tabs>
        <w:ind w:firstLine="480"/>
        <w:rPr>
          <w:rFonts w:ascii="Times New Roman" w:hAnsi="Times New Roman"/>
          <w:b w:val="0"/>
          <w:bCs w:val="0"/>
          <w:caps w:val="0"/>
          <w:sz w:val="24"/>
          <w:szCs w:val="24"/>
        </w:rPr>
      </w:pPr>
      <w:r>
        <w:rPr>
          <w:rFonts w:ascii="Times New Roman" w:hAnsi="Times New Roman"/>
          <w:b w:val="0"/>
          <w:sz w:val="24"/>
          <w:szCs w:val="24"/>
        </w:rPr>
        <w:fldChar w:fldCharType="begin"/>
      </w:r>
      <w:r>
        <w:rPr>
          <w:rFonts w:ascii="Times New Roman" w:hAnsi="Times New Roman"/>
          <w:b w:val="0"/>
          <w:sz w:val="24"/>
          <w:szCs w:val="24"/>
        </w:rPr>
        <w:instrText xml:space="preserve"> TOC \o "1-3" \h \z \u </w:instrText>
      </w:r>
      <w:r>
        <w:rPr>
          <w:rFonts w:ascii="Times New Roman" w:hAnsi="Times New Roman"/>
          <w:b w:val="0"/>
          <w:sz w:val="24"/>
          <w:szCs w:val="24"/>
        </w:rPr>
        <w:fldChar w:fldCharType="separate"/>
      </w:r>
      <w:r>
        <w:fldChar w:fldCharType="begin"/>
      </w:r>
      <w:r>
        <w:instrText xml:space="preserve"> HYPERLINK \l "_Toc7857984" </w:instrText>
      </w:r>
      <w:r>
        <w:fldChar w:fldCharType="separate"/>
      </w:r>
      <w:r>
        <w:rPr>
          <w:rStyle w:val="27"/>
          <w:rFonts w:ascii="Times New Roman" w:hAnsi="Times New Roman"/>
          <w:b w:val="0"/>
          <w:sz w:val="24"/>
          <w:szCs w:val="24"/>
        </w:rPr>
        <w:t>摘要</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_Toc7857984 \h </w:instrText>
      </w:r>
      <w:r>
        <w:rPr>
          <w:rFonts w:ascii="Times New Roman" w:hAnsi="Times New Roman"/>
          <w:b w:val="0"/>
          <w:sz w:val="24"/>
          <w:szCs w:val="24"/>
        </w:rPr>
        <w:fldChar w:fldCharType="separate"/>
      </w:r>
      <w:r>
        <w:rPr>
          <w:rFonts w:ascii="Times New Roman" w:hAnsi="Times New Roman"/>
          <w:b w:val="0"/>
          <w:sz w:val="24"/>
          <w:szCs w:val="24"/>
        </w:rPr>
        <w:t>iii</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17"/>
        <w:tabs>
          <w:tab w:val="right" w:leader="dot" w:pos="8494"/>
        </w:tabs>
        <w:ind w:firstLine="480"/>
        <w:rPr>
          <w:rFonts w:ascii="Times New Roman" w:hAnsi="Times New Roman"/>
          <w:b w:val="0"/>
          <w:bCs w:val="0"/>
          <w:caps w:val="0"/>
          <w:sz w:val="24"/>
          <w:szCs w:val="24"/>
        </w:rPr>
      </w:pPr>
      <w:r>
        <w:fldChar w:fldCharType="begin"/>
      </w:r>
      <w:r>
        <w:instrText xml:space="preserve"> HYPERLINK \l "_Toc7857985" </w:instrText>
      </w:r>
      <w:r>
        <w:fldChar w:fldCharType="separate"/>
      </w:r>
      <w:r>
        <w:rPr>
          <w:rStyle w:val="27"/>
          <w:rFonts w:ascii="Times New Roman" w:hAnsi="Times New Roman"/>
          <w:b w:val="0"/>
          <w:sz w:val="24"/>
          <w:szCs w:val="24"/>
        </w:rPr>
        <w:t>ABSTRACT</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_Toc7857985 \h </w:instrText>
      </w:r>
      <w:r>
        <w:rPr>
          <w:rFonts w:ascii="Times New Roman" w:hAnsi="Times New Roman"/>
          <w:b w:val="0"/>
          <w:sz w:val="24"/>
          <w:szCs w:val="24"/>
        </w:rPr>
        <w:fldChar w:fldCharType="separate"/>
      </w:r>
      <w:r>
        <w:rPr>
          <w:rFonts w:ascii="Times New Roman" w:hAnsi="Times New Roman"/>
          <w:b w:val="0"/>
          <w:sz w:val="24"/>
          <w:szCs w:val="24"/>
        </w:rPr>
        <w:t>iv</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17"/>
        <w:tabs>
          <w:tab w:val="right" w:leader="dot" w:pos="8494"/>
        </w:tabs>
        <w:ind w:firstLine="480"/>
        <w:rPr>
          <w:rFonts w:ascii="Times New Roman" w:hAnsi="Times New Roman"/>
          <w:b w:val="0"/>
          <w:bCs w:val="0"/>
          <w:caps w:val="0"/>
          <w:sz w:val="24"/>
          <w:szCs w:val="24"/>
        </w:rPr>
      </w:pPr>
      <w:r>
        <w:fldChar w:fldCharType="begin"/>
      </w:r>
      <w:r>
        <w:instrText xml:space="preserve"> HYPERLINK \l "_Toc7857986" </w:instrText>
      </w:r>
      <w:r>
        <w:fldChar w:fldCharType="separate"/>
      </w:r>
      <w:r>
        <w:rPr>
          <w:rStyle w:val="27"/>
          <w:rFonts w:ascii="Times New Roman" w:hAnsi="Times New Roman"/>
          <w:b w:val="0"/>
          <w:sz w:val="24"/>
          <w:szCs w:val="24"/>
        </w:rPr>
        <w:t>1  引言</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_Toc7857986 \h </w:instrText>
      </w:r>
      <w:r>
        <w:rPr>
          <w:rFonts w:ascii="Times New Roman" w:hAnsi="Times New Roman"/>
          <w:b w:val="0"/>
          <w:sz w:val="24"/>
          <w:szCs w:val="24"/>
        </w:rPr>
        <w:fldChar w:fldCharType="separate"/>
      </w:r>
      <w:r>
        <w:rPr>
          <w:rFonts w:ascii="Times New Roman" w:hAnsi="Times New Roman"/>
          <w:b w:val="0"/>
          <w:sz w:val="24"/>
          <w:szCs w:val="24"/>
        </w:rPr>
        <w:t>1</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"_Toc7857987" </w:instrText>
      </w:r>
      <w:r>
        <w:fldChar w:fldCharType="separate"/>
      </w:r>
      <w:r>
        <w:rPr>
          <w:rStyle w:val="27"/>
          <w:rFonts w:ascii="Times New Roman" w:hAnsi="Times New Roman"/>
          <w:sz w:val="24"/>
          <w:szCs w:val="24"/>
        </w:rPr>
        <w:t>1.1  研究背景和意义</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_Toc7857987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"_Toc7857988" </w:instrText>
      </w:r>
      <w:r>
        <w:fldChar w:fldCharType="separate"/>
      </w:r>
      <w:r>
        <w:rPr>
          <w:rStyle w:val="27"/>
          <w:rFonts w:ascii="Times New Roman" w:hAnsi="Times New Roman"/>
          <w:sz w:val="24"/>
          <w:szCs w:val="24"/>
        </w:rPr>
        <w:t>1.2  国内外研究现状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_Toc7857988 \h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"_Toc7857989" </w:instrText>
      </w:r>
      <w:r>
        <w:fldChar w:fldCharType="separate"/>
      </w:r>
      <w:r>
        <w:rPr>
          <w:rStyle w:val="27"/>
          <w:rFonts w:ascii="Times New Roman" w:hAnsi="Times New Roman"/>
          <w:i w:val="0"/>
          <w:sz w:val="24"/>
          <w:szCs w:val="24"/>
        </w:rPr>
        <w:t>1.2.1  研究现状</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_Toc7857989 \h </w:instrText>
      </w:r>
      <w:r>
        <w:rPr>
          <w:rFonts w:ascii="Times New Roman" w:hAnsi="Times New Roman"/>
          <w:i w:val="0"/>
          <w:sz w:val="24"/>
          <w:szCs w:val="24"/>
        </w:rPr>
        <w:fldChar w:fldCharType="separate"/>
      </w:r>
      <w:r>
        <w:rPr>
          <w:rFonts w:ascii="Times New Roman" w:hAnsi="Times New Roman"/>
          <w:i w:val="0"/>
          <w:sz w:val="24"/>
          <w:szCs w:val="24"/>
        </w:rPr>
        <w:t>2</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"_Toc7857990" </w:instrText>
      </w:r>
      <w:r>
        <w:fldChar w:fldCharType="separate"/>
      </w:r>
      <w:r>
        <w:rPr>
          <w:rStyle w:val="27"/>
          <w:rFonts w:ascii="Times New Roman" w:hAnsi="Times New Roman"/>
          <w:i w:val="0"/>
          <w:sz w:val="24"/>
          <w:szCs w:val="24"/>
        </w:rPr>
        <w:t>1.2.2  研究难点及挑战</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_Toc7857990 \h </w:instrText>
      </w:r>
      <w:r>
        <w:rPr>
          <w:rFonts w:ascii="Times New Roman" w:hAnsi="Times New Roman"/>
          <w:i w:val="0"/>
          <w:sz w:val="24"/>
          <w:szCs w:val="24"/>
        </w:rPr>
        <w:fldChar w:fldCharType="separate"/>
      </w:r>
      <w:r>
        <w:rPr>
          <w:rFonts w:ascii="Times New Roman" w:hAnsi="Times New Roman"/>
          <w:i w:val="0"/>
          <w:sz w:val="24"/>
          <w:szCs w:val="24"/>
        </w:rPr>
        <w:t>4</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"_Toc7857991" </w:instrText>
      </w:r>
      <w:r>
        <w:fldChar w:fldCharType="separate"/>
      </w:r>
      <w:r>
        <w:rPr>
          <w:rStyle w:val="27"/>
          <w:rFonts w:ascii="Times New Roman" w:hAnsi="Times New Roman"/>
          <w:sz w:val="24"/>
          <w:szCs w:val="24"/>
        </w:rPr>
        <w:t>1.3  本论文的主要贡献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_Toc7857991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"_Toc7857992" </w:instrText>
      </w:r>
      <w:r>
        <w:fldChar w:fldCharType="separate"/>
      </w:r>
      <w:r>
        <w:rPr>
          <w:rStyle w:val="27"/>
          <w:rFonts w:ascii="Times New Roman" w:hAnsi="Times New Roman"/>
          <w:sz w:val="24"/>
          <w:szCs w:val="24"/>
        </w:rPr>
        <w:t>1.4  本论文的组织结构</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_Toc7857992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17"/>
        <w:tabs>
          <w:tab w:val="right" w:leader="dot" w:pos="8494"/>
        </w:tabs>
        <w:ind w:firstLine="480"/>
        <w:rPr>
          <w:rFonts w:ascii="Times New Roman" w:hAnsi="Times New Roman"/>
          <w:b w:val="0"/>
          <w:bCs w:val="0"/>
          <w:caps w:val="0"/>
          <w:sz w:val="24"/>
          <w:szCs w:val="24"/>
        </w:rPr>
      </w:pPr>
      <w:r>
        <w:fldChar w:fldCharType="begin"/>
      </w:r>
      <w:r>
        <w:instrText xml:space="preserve"> HYPERLINK \l "_Toc7857993" </w:instrText>
      </w:r>
      <w:r>
        <w:fldChar w:fldCharType="separate"/>
      </w:r>
      <w:r>
        <w:rPr>
          <w:rStyle w:val="27"/>
          <w:rFonts w:ascii="Times New Roman" w:hAnsi="Times New Roman"/>
          <w:b w:val="0"/>
          <w:sz w:val="24"/>
          <w:szCs w:val="24"/>
        </w:rPr>
        <w:t>2  技术背景</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_Toc7857993 \h </w:instrText>
      </w:r>
      <w:r>
        <w:rPr>
          <w:rFonts w:ascii="Times New Roman" w:hAnsi="Times New Roman"/>
          <w:b w:val="0"/>
          <w:sz w:val="24"/>
          <w:szCs w:val="24"/>
        </w:rPr>
        <w:fldChar w:fldCharType="separate"/>
      </w:r>
      <w:r>
        <w:rPr>
          <w:rFonts w:ascii="Times New Roman" w:hAnsi="Times New Roman"/>
          <w:b w:val="0"/>
          <w:sz w:val="24"/>
          <w:szCs w:val="24"/>
        </w:rPr>
        <w:t>7</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"_Toc7857994" </w:instrText>
      </w:r>
      <w:r>
        <w:fldChar w:fldCharType="separate"/>
      </w:r>
      <w:r>
        <w:rPr>
          <w:rStyle w:val="27"/>
          <w:rFonts w:ascii="Times New Roman" w:hAnsi="Times New Roman"/>
          <w:sz w:val="24"/>
          <w:szCs w:val="24"/>
        </w:rPr>
        <w:t>2.1  网络测量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_Toc7857994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"_Toc7857995" </w:instrText>
      </w:r>
      <w:r>
        <w:fldChar w:fldCharType="separate"/>
      </w:r>
      <w:r>
        <w:rPr>
          <w:rStyle w:val="27"/>
          <w:rFonts w:ascii="Times New Roman" w:hAnsi="Times New Roman"/>
          <w:sz w:val="24"/>
          <w:szCs w:val="24"/>
        </w:rPr>
        <w:t>2.2  模式挖掘</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_Toc7857995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"_Toc7857996" </w:instrText>
      </w:r>
      <w:r>
        <w:fldChar w:fldCharType="separate"/>
      </w:r>
      <w:r>
        <w:rPr>
          <w:rStyle w:val="27"/>
          <w:rFonts w:ascii="Times New Roman" w:hAnsi="Times New Roman"/>
          <w:sz w:val="24"/>
          <w:szCs w:val="24"/>
        </w:rPr>
        <w:t>2.3  机器学习</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_Toc7857996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"_Toc7857997" </w:instrText>
      </w:r>
      <w:r>
        <w:fldChar w:fldCharType="separate"/>
      </w:r>
      <w:r>
        <w:rPr>
          <w:rStyle w:val="27"/>
          <w:rFonts w:ascii="Times New Roman" w:hAnsi="Times New Roman"/>
          <w:i w:val="0"/>
          <w:sz w:val="24"/>
          <w:szCs w:val="24"/>
        </w:rPr>
        <w:t>2.3.1  K-NN算法</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_Toc7857997 \h </w:instrText>
      </w:r>
      <w:r>
        <w:rPr>
          <w:rFonts w:ascii="Times New Roman" w:hAnsi="Times New Roman"/>
          <w:i w:val="0"/>
          <w:sz w:val="24"/>
          <w:szCs w:val="24"/>
        </w:rPr>
        <w:fldChar w:fldCharType="separate"/>
      </w:r>
      <w:r>
        <w:rPr>
          <w:rFonts w:ascii="Times New Roman" w:hAnsi="Times New Roman"/>
          <w:i w:val="0"/>
          <w:sz w:val="24"/>
          <w:szCs w:val="24"/>
        </w:rPr>
        <w:t>9</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"_Toc7857998" </w:instrText>
      </w:r>
      <w:r>
        <w:fldChar w:fldCharType="separate"/>
      </w:r>
      <w:r>
        <w:rPr>
          <w:rStyle w:val="27"/>
          <w:rFonts w:ascii="Times New Roman" w:hAnsi="Times New Roman"/>
          <w:i w:val="0"/>
          <w:sz w:val="24"/>
          <w:szCs w:val="24"/>
        </w:rPr>
        <w:t>2.3.2  K-Means算法</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_Toc7857998 \h </w:instrText>
      </w:r>
      <w:r>
        <w:rPr>
          <w:rFonts w:ascii="Times New Roman" w:hAnsi="Times New Roman"/>
          <w:i w:val="0"/>
          <w:sz w:val="24"/>
          <w:szCs w:val="24"/>
        </w:rPr>
        <w:fldChar w:fldCharType="separate"/>
      </w:r>
      <w:r>
        <w:rPr>
          <w:rFonts w:ascii="Times New Roman" w:hAnsi="Times New Roman"/>
          <w:i w:val="0"/>
          <w:sz w:val="24"/>
          <w:szCs w:val="24"/>
        </w:rPr>
        <w:t>9</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"_Toc7857999" </w:instrText>
      </w:r>
      <w:r>
        <w:fldChar w:fldCharType="separate"/>
      </w:r>
      <w:r>
        <w:rPr>
          <w:rStyle w:val="27"/>
          <w:rFonts w:ascii="Times New Roman" w:hAnsi="Times New Roman"/>
          <w:i w:val="0"/>
          <w:sz w:val="24"/>
          <w:szCs w:val="24"/>
        </w:rPr>
        <w:t>2.3.3  XGBoost算法</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_Toc7857999 \h </w:instrText>
      </w:r>
      <w:r>
        <w:rPr>
          <w:rFonts w:ascii="Times New Roman" w:hAnsi="Times New Roman"/>
          <w:i w:val="0"/>
          <w:sz w:val="24"/>
          <w:szCs w:val="24"/>
        </w:rPr>
        <w:fldChar w:fldCharType="separate"/>
      </w:r>
      <w:r>
        <w:rPr>
          <w:rFonts w:ascii="Times New Roman" w:hAnsi="Times New Roman"/>
          <w:i w:val="0"/>
          <w:sz w:val="24"/>
          <w:szCs w:val="24"/>
        </w:rPr>
        <w:t>10</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"_Toc7858000" </w:instrText>
      </w:r>
      <w:r>
        <w:fldChar w:fldCharType="separate"/>
      </w:r>
      <w:r>
        <w:rPr>
          <w:rStyle w:val="27"/>
          <w:rFonts w:ascii="Times New Roman" w:hAnsi="Times New Roman"/>
          <w:i w:val="0"/>
          <w:sz w:val="24"/>
          <w:szCs w:val="24"/>
        </w:rPr>
        <w:t>2.3.4  LR算法</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_Toc7858000 \h </w:instrText>
      </w:r>
      <w:r>
        <w:rPr>
          <w:rFonts w:ascii="Times New Roman" w:hAnsi="Times New Roman"/>
          <w:i w:val="0"/>
          <w:sz w:val="24"/>
          <w:szCs w:val="24"/>
        </w:rPr>
        <w:fldChar w:fldCharType="separate"/>
      </w:r>
      <w:r>
        <w:rPr>
          <w:rFonts w:ascii="Times New Roman" w:hAnsi="Times New Roman"/>
          <w:i w:val="0"/>
          <w:sz w:val="24"/>
          <w:szCs w:val="24"/>
        </w:rPr>
        <w:t>11</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"_Toc7858001" </w:instrText>
      </w:r>
      <w:r>
        <w:fldChar w:fldCharType="separate"/>
      </w:r>
      <w:r>
        <w:rPr>
          <w:rStyle w:val="27"/>
          <w:rFonts w:ascii="Times New Roman" w:hAnsi="Times New Roman"/>
          <w:sz w:val="24"/>
          <w:szCs w:val="24"/>
        </w:rPr>
        <w:t>2.4  模型性能评估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_Toc7858001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"_Toc7858002" </w:instrText>
      </w:r>
      <w:r>
        <w:fldChar w:fldCharType="separate"/>
      </w:r>
      <w:r>
        <w:rPr>
          <w:rStyle w:val="27"/>
          <w:rFonts w:ascii="Times New Roman" w:hAnsi="Times New Roman"/>
          <w:i w:val="0"/>
          <w:sz w:val="24"/>
          <w:szCs w:val="24"/>
        </w:rPr>
        <w:t>2.4.1  分类与聚类</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_Toc7858002 \h </w:instrText>
      </w:r>
      <w:r>
        <w:rPr>
          <w:rFonts w:ascii="Times New Roman" w:hAnsi="Times New Roman"/>
          <w:i w:val="0"/>
          <w:sz w:val="24"/>
          <w:szCs w:val="24"/>
        </w:rPr>
        <w:fldChar w:fldCharType="separate"/>
      </w:r>
      <w:r>
        <w:rPr>
          <w:rFonts w:ascii="Times New Roman" w:hAnsi="Times New Roman"/>
          <w:i w:val="0"/>
          <w:sz w:val="24"/>
          <w:szCs w:val="24"/>
        </w:rPr>
        <w:t>12</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"_Toc7858003" </w:instrText>
      </w:r>
      <w:r>
        <w:fldChar w:fldCharType="separate"/>
      </w:r>
      <w:r>
        <w:rPr>
          <w:rStyle w:val="27"/>
          <w:rFonts w:ascii="Times New Roman" w:hAnsi="Times New Roman"/>
          <w:i w:val="0"/>
          <w:sz w:val="24"/>
          <w:szCs w:val="24"/>
        </w:rPr>
        <w:t>2.4.2  模型评价方法</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_Toc7858003 \h </w:instrText>
      </w:r>
      <w:r>
        <w:rPr>
          <w:rFonts w:ascii="Times New Roman" w:hAnsi="Times New Roman"/>
          <w:i w:val="0"/>
          <w:sz w:val="24"/>
          <w:szCs w:val="24"/>
        </w:rPr>
        <w:fldChar w:fldCharType="separate"/>
      </w:r>
      <w:r>
        <w:rPr>
          <w:rFonts w:ascii="Times New Roman" w:hAnsi="Times New Roman"/>
          <w:i w:val="0"/>
          <w:sz w:val="24"/>
          <w:szCs w:val="24"/>
        </w:rPr>
        <w:t>13</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"_Toc7858004" </w:instrText>
      </w:r>
      <w:r>
        <w:fldChar w:fldCharType="separate"/>
      </w:r>
      <w:r>
        <w:rPr>
          <w:rStyle w:val="27"/>
          <w:rFonts w:ascii="Times New Roman" w:hAnsi="Times New Roman"/>
          <w:sz w:val="24"/>
          <w:szCs w:val="24"/>
        </w:rPr>
        <w:t>2.5  开发工具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_Toc7858004 \h </w:instrText>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"_Toc7858005" </w:instrText>
      </w:r>
      <w:r>
        <w:fldChar w:fldCharType="separate"/>
      </w:r>
      <w:r>
        <w:rPr>
          <w:rStyle w:val="27"/>
          <w:rFonts w:ascii="Times New Roman" w:hAnsi="Times New Roman"/>
          <w:i w:val="0"/>
          <w:sz w:val="24"/>
          <w:szCs w:val="24"/>
        </w:rPr>
        <w:t>2.5.1  Pandas数据处理库</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_Toc7858005 \h </w:instrText>
      </w:r>
      <w:r>
        <w:rPr>
          <w:rFonts w:ascii="Times New Roman" w:hAnsi="Times New Roman"/>
          <w:i w:val="0"/>
          <w:sz w:val="24"/>
          <w:szCs w:val="24"/>
        </w:rPr>
        <w:fldChar w:fldCharType="separate"/>
      </w:r>
      <w:r>
        <w:rPr>
          <w:rFonts w:ascii="Times New Roman" w:hAnsi="Times New Roman"/>
          <w:i w:val="0"/>
          <w:sz w:val="24"/>
          <w:szCs w:val="24"/>
        </w:rPr>
        <w:t>14</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"_Toc7858006" </w:instrText>
      </w:r>
      <w:r>
        <w:fldChar w:fldCharType="separate"/>
      </w:r>
      <w:r>
        <w:rPr>
          <w:rStyle w:val="27"/>
          <w:rFonts w:ascii="Times New Roman" w:hAnsi="Times New Roman"/>
          <w:i w:val="0"/>
          <w:sz w:val="24"/>
          <w:szCs w:val="24"/>
        </w:rPr>
        <w:t>2.5.2  Numpy数组运算库</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_Toc7858006 \h </w:instrText>
      </w:r>
      <w:r>
        <w:rPr>
          <w:rFonts w:ascii="Times New Roman" w:hAnsi="Times New Roman"/>
          <w:i w:val="0"/>
          <w:sz w:val="24"/>
          <w:szCs w:val="24"/>
        </w:rPr>
        <w:fldChar w:fldCharType="separate"/>
      </w:r>
      <w:r>
        <w:rPr>
          <w:rFonts w:ascii="Times New Roman" w:hAnsi="Times New Roman"/>
          <w:i w:val="0"/>
          <w:sz w:val="24"/>
          <w:szCs w:val="24"/>
        </w:rPr>
        <w:t>15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"_Toc7858007" </w:instrText>
      </w:r>
      <w:r>
        <w:fldChar w:fldCharType="separate"/>
      </w:r>
      <w:r>
        <w:rPr>
          <w:rStyle w:val="27"/>
          <w:rFonts w:ascii="Times New Roman" w:hAnsi="Times New Roman"/>
          <w:i w:val="0"/>
          <w:sz w:val="24"/>
          <w:szCs w:val="24"/>
        </w:rPr>
        <w:t>2.5.3  Matplotlib绘图工具库</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_Toc7858007 \h </w:instrText>
      </w:r>
      <w:r>
        <w:rPr>
          <w:rFonts w:ascii="Times New Roman" w:hAnsi="Times New Roman"/>
          <w:i w:val="0"/>
          <w:sz w:val="24"/>
          <w:szCs w:val="24"/>
        </w:rPr>
        <w:fldChar w:fldCharType="separate"/>
      </w:r>
      <w:r>
        <w:rPr>
          <w:rFonts w:ascii="Times New Roman" w:hAnsi="Times New Roman"/>
          <w:i w:val="0"/>
          <w:sz w:val="24"/>
          <w:szCs w:val="24"/>
        </w:rPr>
        <w:t>15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"_Toc7858008" </w:instrText>
      </w:r>
      <w:r>
        <w:fldChar w:fldCharType="separate"/>
      </w:r>
      <w:r>
        <w:rPr>
          <w:rStyle w:val="27"/>
          <w:rFonts w:ascii="Times New Roman" w:hAnsi="Times New Roman"/>
          <w:i w:val="0"/>
          <w:sz w:val="24"/>
          <w:szCs w:val="24"/>
        </w:rPr>
        <w:t>2.5.4  Scikit-learn机器学习库</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_Toc7858008 \h </w:instrText>
      </w:r>
      <w:r>
        <w:rPr>
          <w:rFonts w:ascii="Times New Roman" w:hAnsi="Times New Roman"/>
          <w:i w:val="0"/>
          <w:sz w:val="24"/>
          <w:szCs w:val="24"/>
        </w:rPr>
        <w:fldChar w:fldCharType="separate"/>
      </w:r>
      <w:r>
        <w:rPr>
          <w:rFonts w:ascii="Times New Roman" w:hAnsi="Times New Roman"/>
          <w:i w:val="0"/>
          <w:sz w:val="24"/>
          <w:szCs w:val="24"/>
        </w:rPr>
        <w:t>16</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"_Toc7858009" </w:instrText>
      </w:r>
      <w:r>
        <w:fldChar w:fldCharType="separate"/>
      </w:r>
      <w:r>
        <w:rPr>
          <w:rStyle w:val="27"/>
          <w:rFonts w:ascii="Times New Roman" w:hAnsi="Times New Roman"/>
          <w:sz w:val="24"/>
          <w:szCs w:val="24"/>
        </w:rPr>
        <w:t>2.6  本章小结</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_Toc7858009 \h </w:instrText>
      </w:r>
      <w:r>
        <w:rPr>
          <w:rFonts w:ascii="Times New Roman" w:hAnsi="Times New Roman"/>
          <w:sz w:val="24"/>
          <w:szCs w:val="24"/>
        </w:rPr>
        <w:fldChar w:fldCharType="separate"/>
      </w:r>
      <w:r>
        <w:rPr>
          <w:rFonts w:ascii="Times New Roman" w:hAnsi="Times New Roman"/>
          <w:sz w:val="24"/>
          <w:szCs w:val="24"/>
        </w:rPr>
        <w:t>16</w:t>
      </w:r>
      <w:r>
        <w:rPr>
          <w:rFonts w:ascii="Times New Roman" w:hAnsi="Times New Roman"/>
          <w:sz w:val="24"/>
          <w:szCs w:val="24"/>
        </w:rPr>
        <w:fldChar w:fldCharType="end"/>
      </w:r>
      <w:r>
        <w:rPr>
          <w:rFonts w:ascii="Times New Roman" w:hAnsi="Times New Roman"/>
          <w:sz w:val="24"/>
          <w:szCs w:val="24"/>
        </w:rPr>
        <w:fldChar w:fldCharType="end"/>
      </w:r>
    </w:p>
    <w:p>
      <w:pPr>
        <w:pStyle w:val="17"/>
        <w:tabs>
          <w:tab w:val="right" w:leader="dot" w:pos="8494"/>
        </w:tabs>
        <w:ind w:firstLine="480"/>
        <w:rPr>
          <w:rFonts w:ascii="Times New Roman" w:hAnsi="Times New Roman"/>
          <w:b w:val="0"/>
          <w:bCs w:val="0"/>
          <w:caps w:val="0"/>
          <w:sz w:val="24"/>
          <w:szCs w:val="24"/>
        </w:rPr>
      </w:pPr>
      <w:r>
        <w:fldChar w:fldCharType="begin"/>
      </w:r>
      <w:r>
        <w:instrText xml:space="preserve"> HYPERLINK \l "_Toc7858010" </w:instrText>
      </w:r>
      <w:r>
        <w:fldChar w:fldCharType="separate"/>
      </w:r>
      <w:r>
        <w:rPr>
          <w:rStyle w:val="27"/>
          <w:rFonts w:ascii="Times New Roman" w:hAnsi="Times New Roman"/>
          <w:b w:val="0"/>
          <w:sz w:val="24"/>
          <w:szCs w:val="24"/>
        </w:rPr>
        <w:t>3  基站流量时空分析</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_Toc7858010 \h </w:instrText>
      </w:r>
      <w:r>
        <w:rPr>
          <w:rFonts w:ascii="Times New Roman" w:hAnsi="Times New Roman"/>
          <w:b w:val="0"/>
          <w:sz w:val="24"/>
          <w:szCs w:val="24"/>
        </w:rPr>
        <w:fldChar w:fldCharType="separate"/>
      </w:r>
      <w:r>
        <w:rPr>
          <w:rFonts w:ascii="Times New Roman" w:hAnsi="Times New Roman"/>
          <w:b w:val="0"/>
          <w:sz w:val="24"/>
          <w:szCs w:val="24"/>
        </w:rPr>
        <w:t>17</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"_Toc7858011" </w:instrText>
      </w:r>
      <w:r>
        <w:fldChar w:fldCharType="separate"/>
      </w:r>
      <w:r>
        <w:rPr>
          <w:rStyle w:val="27"/>
          <w:rFonts w:ascii="Times New Roman" w:hAnsi="Times New Roman"/>
          <w:sz w:val="24"/>
          <w:szCs w:val="24"/>
        </w:rPr>
        <w:t>3.1  数据集介绍与预处理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_Toc7858011 \h </w:instrText>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Pr>
          <w:rFonts w:ascii="Times New Roman" w:hAnsi="Times New Roman"/>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"_Toc7858012" </w:instrText>
      </w:r>
      <w:r>
        <w:fldChar w:fldCharType="separate"/>
      </w:r>
      <w:r>
        <w:rPr>
          <w:rStyle w:val="27"/>
          <w:rFonts w:ascii="Times New Roman" w:hAnsi="Times New Roman"/>
          <w:sz w:val="24"/>
          <w:szCs w:val="24"/>
        </w:rPr>
        <w:t>3.2  基站流量的空间分析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_Toc7858012 \h </w:instrText>
      </w:r>
      <w:r>
        <w:rPr>
          <w:rFonts w:ascii="Times New Roman" w:hAnsi="Times New Roman"/>
          <w:sz w:val="24"/>
          <w:szCs w:val="24"/>
        </w:rPr>
        <w:fldChar w:fldCharType="separate"/>
      </w:r>
      <w:r>
        <w:rPr>
          <w:rFonts w:ascii="Times New Roman" w:hAnsi="Times New Roman"/>
          <w:sz w:val="24"/>
          <w:szCs w:val="24"/>
        </w:rPr>
        <w:t>18</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"_Toc7858013" </w:instrText>
      </w:r>
      <w:r>
        <w:fldChar w:fldCharType="separate"/>
      </w:r>
      <w:r>
        <w:rPr>
          <w:rStyle w:val="27"/>
          <w:rFonts w:ascii="Times New Roman" w:hAnsi="Times New Roman"/>
          <w:i w:val="0"/>
          <w:sz w:val="24"/>
          <w:szCs w:val="24"/>
        </w:rPr>
        <w:t>3.2.1  全市范围空间分析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_Toc7858013 \h </w:instrText>
      </w:r>
      <w:r>
        <w:rPr>
          <w:rFonts w:ascii="Times New Roman" w:hAnsi="Times New Roman"/>
          <w:i w:val="0"/>
          <w:sz w:val="24"/>
          <w:szCs w:val="24"/>
        </w:rPr>
        <w:fldChar w:fldCharType="separate"/>
      </w:r>
      <w:r>
        <w:rPr>
          <w:rFonts w:ascii="Times New Roman" w:hAnsi="Times New Roman"/>
          <w:i w:val="0"/>
          <w:sz w:val="24"/>
          <w:szCs w:val="24"/>
        </w:rPr>
        <w:t>18</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"_Toc7858014" </w:instrText>
      </w:r>
      <w:r>
        <w:fldChar w:fldCharType="separate"/>
      </w:r>
      <w:r>
        <w:rPr>
          <w:rStyle w:val="27"/>
          <w:rFonts w:ascii="Times New Roman" w:hAnsi="Times New Roman"/>
          <w:i w:val="0"/>
          <w:sz w:val="24"/>
          <w:szCs w:val="24"/>
        </w:rPr>
        <w:t>3.2.2  市中心范围空间分析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_Toc7858014 \h </w:instrText>
      </w:r>
      <w:r>
        <w:rPr>
          <w:rFonts w:ascii="Times New Roman" w:hAnsi="Times New Roman"/>
          <w:i w:val="0"/>
          <w:sz w:val="24"/>
          <w:szCs w:val="24"/>
        </w:rPr>
        <w:fldChar w:fldCharType="separate"/>
      </w:r>
      <w:r>
        <w:rPr>
          <w:rFonts w:ascii="Times New Roman" w:hAnsi="Times New Roman"/>
          <w:i w:val="0"/>
          <w:sz w:val="24"/>
          <w:szCs w:val="24"/>
        </w:rPr>
        <w:t>20</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"_Toc7858015" </w:instrText>
      </w:r>
      <w:r>
        <w:fldChar w:fldCharType="separate"/>
      </w:r>
      <w:r>
        <w:rPr>
          <w:rStyle w:val="27"/>
          <w:rFonts w:ascii="Times New Roman" w:hAnsi="Times New Roman"/>
          <w:sz w:val="24"/>
          <w:szCs w:val="24"/>
        </w:rPr>
        <w:t>3.3  基站流量的时间分析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_Toc7858015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"_Toc7858016" </w:instrText>
      </w:r>
      <w:r>
        <w:fldChar w:fldCharType="separate"/>
      </w:r>
      <w:r>
        <w:rPr>
          <w:rStyle w:val="27"/>
          <w:rFonts w:ascii="Times New Roman" w:hAnsi="Times New Roman"/>
          <w:sz w:val="24"/>
          <w:szCs w:val="24"/>
        </w:rPr>
        <w:t>3.4  本章小结</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_Toc7858016 \h </w:instrText>
      </w:r>
      <w:r>
        <w:rPr>
          <w:rFonts w:ascii="Times New Roman" w:hAnsi="Times New Roman"/>
          <w:sz w:val="24"/>
          <w:szCs w:val="24"/>
        </w:rPr>
        <w:fldChar w:fldCharType="separate"/>
      </w:r>
      <w:r>
        <w:rPr>
          <w:rFonts w:ascii="Times New Roman" w:hAnsi="Times New Roman"/>
          <w:sz w:val="24"/>
          <w:szCs w:val="24"/>
        </w:rPr>
        <w:t>25</w:t>
      </w:r>
      <w:r>
        <w:rPr>
          <w:rFonts w:ascii="Times New Roman" w:hAnsi="Times New Roman"/>
          <w:sz w:val="24"/>
          <w:szCs w:val="24"/>
        </w:rPr>
        <w:fldChar w:fldCharType="end"/>
      </w:r>
      <w:r>
        <w:rPr>
          <w:rFonts w:ascii="Times New Roman" w:hAnsi="Times New Roman"/>
          <w:sz w:val="24"/>
          <w:szCs w:val="24"/>
        </w:rPr>
        <w:fldChar w:fldCharType="end"/>
      </w:r>
    </w:p>
    <w:p>
      <w:pPr>
        <w:pStyle w:val="17"/>
        <w:tabs>
          <w:tab w:val="right" w:leader="dot" w:pos="8494"/>
        </w:tabs>
        <w:ind w:firstLine="480"/>
        <w:rPr>
          <w:rFonts w:ascii="Times New Roman" w:hAnsi="Times New Roman"/>
          <w:b w:val="0"/>
          <w:bCs w:val="0"/>
          <w:caps w:val="0"/>
          <w:sz w:val="24"/>
          <w:szCs w:val="24"/>
        </w:rPr>
      </w:pPr>
      <w:r>
        <w:fldChar w:fldCharType="begin"/>
      </w:r>
      <w:r>
        <w:instrText xml:space="preserve"> HYPERLINK \l "_Toc7858017" </w:instrText>
      </w:r>
      <w:r>
        <w:fldChar w:fldCharType="separate"/>
      </w:r>
      <w:r>
        <w:rPr>
          <w:rStyle w:val="27"/>
          <w:rFonts w:ascii="Times New Roman" w:hAnsi="Times New Roman"/>
          <w:b w:val="0"/>
          <w:sz w:val="24"/>
          <w:szCs w:val="24"/>
        </w:rPr>
        <w:t xml:space="preserve">4  </w:t>
      </w:r>
      <w:r>
        <w:rPr>
          <w:rStyle w:val="27"/>
          <w:rFonts w:ascii="Times New Roman" w:hAnsi="Times New Roman"/>
          <w:b w:val="0"/>
          <w:sz w:val="24"/>
          <w:szCs w:val="24"/>
          <w:lang w:val="zh-CN"/>
        </w:rPr>
        <w:t>基站长期流量变化模式聚类</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_Toc7858017 \h </w:instrText>
      </w:r>
      <w:r>
        <w:rPr>
          <w:rFonts w:ascii="Times New Roman" w:hAnsi="Times New Roman"/>
          <w:b w:val="0"/>
          <w:sz w:val="24"/>
          <w:szCs w:val="24"/>
        </w:rPr>
        <w:fldChar w:fldCharType="separate"/>
      </w:r>
      <w:r>
        <w:rPr>
          <w:rFonts w:ascii="Times New Roman" w:hAnsi="Times New Roman"/>
          <w:b w:val="0"/>
          <w:sz w:val="24"/>
          <w:szCs w:val="24"/>
        </w:rPr>
        <w:t>26</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"_Toc7858018" </w:instrText>
      </w:r>
      <w:r>
        <w:fldChar w:fldCharType="separate"/>
      </w:r>
      <w:r>
        <w:rPr>
          <w:rStyle w:val="27"/>
          <w:rFonts w:ascii="Times New Roman" w:hAnsi="Times New Roman"/>
          <w:sz w:val="24"/>
          <w:szCs w:val="24"/>
        </w:rPr>
        <w:t>4.1  传统聚类方法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_Toc7858018 \h </w:instrText>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r>
        <w:rPr>
          <w:rFonts w:ascii="Times New Roman" w:hAnsi="Times New Roman"/>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"_Toc7858019" </w:instrText>
      </w:r>
      <w:r>
        <w:fldChar w:fldCharType="separate"/>
      </w:r>
      <w:r>
        <w:rPr>
          <w:rStyle w:val="27"/>
          <w:rFonts w:ascii="Times New Roman" w:hAnsi="Times New Roman"/>
          <w:sz w:val="24"/>
          <w:szCs w:val="24"/>
        </w:rPr>
        <w:t>4.2  Rank-Based模式聚类方法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_Toc7858019 \h </w:instrText>
      </w:r>
      <w:r>
        <w:rPr>
          <w:rFonts w:ascii="Times New Roman" w:hAnsi="Times New Roman"/>
          <w:sz w:val="24"/>
          <w:szCs w:val="24"/>
        </w:rPr>
        <w:fldChar w:fldCharType="separate"/>
      </w:r>
      <w:r>
        <w:rPr>
          <w:rFonts w:ascii="Times New Roman" w:hAnsi="Times New Roman"/>
          <w:sz w:val="24"/>
          <w:szCs w:val="24"/>
        </w:rPr>
        <w:t>27</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"_Toc7858020" </w:instrText>
      </w:r>
      <w:r>
        <w:fldChar w:fldCharType="separate"/>
      </w:r>
      <w:r>
        <w:rPr>
          <w:rStyle w:val="27"/>
          <w:rFonts w:ascii="Times New Roman" w:hAnsi="Times New Roman"/>
          <w:i w:val="0"/>
          <w:sz w:val="24"/>
          <w:szCs w:val="24"/>
        </w:rPr>
        <w:t>4.2.1  基站Rank向量</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_Toc7858020 \h </w:instrText>
      </w:r>
      <w:r>
        <w:rPr>
          <w:rFonts w:ascii="Times New Roman" w:hAnsi="Times New Roman"/>
          <w:i w:val="0"/>
          <w:sz w:val="24"/>
          <w:szCs w:val="24"/>
        </w:rPr>
        <w:fldChar w:fldCharType="separate"/>
      </w:r>
      <w:r>
        <w:rPr>
          <w:rFonts w:ascii="Times New Roman" w:hAnsi="Times New Roman"/>
          <w:i w:val="0"/>
          <w:sz w:val="24"/>
          <w:szCs w:val="24"/>
        </w:rPr>
        <w:t>27</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"_Toc7858021" </w:instrText>
      </w:r>
      <w:r>
        <w:fldChar w:fldCharType="separate"/>
      </w:r>
      <w:r>
        <w:rPr>
          <w:rStyle w:val="27"/>
          <w:rFonts w:ascii="Times New Roman" w:hAnsi="Times New Roman"/>
          <w:i w:val="0"/>
          <w:sz w:val="24"/>
          <w:szCs w:val="24"/>
        </w:rPr>
        <w:t>4.2.2  模式聚类过程</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_Toc7858021 \h </w:instrText>
      </w:r>
      <w:r>
        <w:rPr>
          <w:rFonts w:ascii="Times New Roman" w:hAnsi="Times New Roman"/>
          <w:i w:val="0"/>
          <w:sz w:val="24"/>
          <w:szCs w:val="24"/>
        </w:rPr>
        <w:fldChar w:fldCharType="separate"/>
      </w:r>
      <w:r>
        <w:rPr>
          <w:rFonts w:ascii="Times New Roman" w:hAnsi="Times New Roman"/>
          <w:i w:val="0"/>
          <w:sz w:val="24"/>
          <w:szCs w:val="24"/>
        </w:rPr>
        <w:t>28</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"_Toc7858022" </w:instrText>
      </w:r>
      <w:r>
        <w:fldChar w:fldCharType="separate"/>
      </w:r>
      <w:r>
        <w:rPr>
          <w:rStyle w:val="27"/>
          <w:rFonts w:ascii="Times New Roman" w:hAnsi="Times New Roman"/>
          <w:i w:val="0"/>
          <w:sz w:val="24"/>
          <w:szCs w:val="24"/>
        </w:rPr>
        <w:t>4.2.3  聚类结果分析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_Toc7858022 \h </w:instrText>
      </w:r>
      <w:r>
        <w:rPr>
          <w:rFonts w:ascii="Times New Roman" w:hAnsi="Times New Roman"/>
          <w:i w:val="0"/>
          <w:sz w:val="24"/>
          <w:szCs w:val="24"/>
        </w:rPr>
        <w:fldChar w:fldCharType="separate"/>
      </w:r>
      <w:r>
        <w:rPr>
          <w:rFonts w:ascii="Times New Roman" w:hAnsi="Times New Roman"/>
          <w:i w:val="0"/>
          <w:sz w:val="24"/>
          <w:szCs w:val="24"/>
        </w:rPr>
        <w:t>30</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"_Toc7858023" </w:instrText>
      </w:r>
      <w:r>
        <w:fldChar w:fldCharType="separate"/>
      </w:r>
      <w:r>
        <w:rPr>
          <w:rStyle w:val="27"/>
          <w:rFonts w:ascii="Times New Roman" w:hAnsi="Times New Roman"/>
          <w:sz w:val="24"/>
          <w:szCs w:val="24"/>
        </w:rPr>
        <w:t>4.3  本章小结</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_Toc7858023 \h </w:instrText>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fldChar w:fldCharType="end"/>
      </w:r>
    </w:p>
    <w:p>
      <w:pPr>
        <w:pStyle w:val="17"/>
        <w:tabs>
          <w:tab w:val="right" w:leader="dot" w:pos="8494"/>
        </w:tabs>
        <w:ind w:firstLine="480"/>
        <w:rPr>
          <w:rFonts w:ascii="Times New Roman" w:hAnsi="Times New Roman"/>
          <w:b w:val="0"/>
          <w:bCs w:val="0"/>
          <w:caps w:val="0"/>
          <w:sz w:val="24"/>
          <w:szCs w:val="24"/>
        </w:rPr>
      </w:pPr>
      <w:r>
        <w:fldChar w:fldCharType="begin"/>
      </w:r>
      <w:r>
        <w:instrText xml:space="preserve"> HYPERLINK \l "_Toc7858024" </w:instrText>
      </w:r>
      <w:r>
        <w:fldChar w:fldCharType="separate"/>
      </w:r>
      <w:r>
        <w:rPr>
          <w:rStyle w:val="27"/>
          <w:rFonts w:ascii="Times New Roman" w:hAnsi="Times New Roman"/>
          <w:b w:val="0"/>
          <w:sz w:val="24"/>
          <w:szCs w:val="24"/>
        </w:rPr>
        <w:t>5  基站长期流量变化模式预测</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_Toc7858024 \h </w:instrText>
      </w:r>
      <w:r>
        <w:rPr>
          <w:rFonts w:ascii="Times New Roman" w:hAnsi="Times New Roman"/>
          <w:b w:val="0"/>
          <w:sz w:val="24"/>
          <w:szCs w:val="24"/>
        </w:rPr>
        <w:fldChar w:fldCharType="separate"/>
      </w:r>
      <w:r>
        <w:rPr>
          <w:rFonts w:ascii="Times New Roman" w:hAnsi="Times New Roman"/>
          <w:b w:val="0"/>
          <w:sz w:val="24"/>
          <w:szCs w:val="24"/>
        </w:rPr>
        <w:t>33</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"_Toc7858025" </w:instrText>
      </w:r>
      <w:r>
        <w:fldChar w:fldCharType="separate"/>
      </w:r>
      <w:r>
        <w:rPr>
          <w:rStyle w:val="27"/>
          <w:rFonts w:ascii="Times New Roman" w:hAnsi="Times New Roman"/>
          <w:sz w:val="24"/>
          <w:szCs w:val="24"/>
        </w:rPr>
        <w:t>5.1  模式预测基本思想</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_Toc7858025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"_Toc7858026" </w:instrText>
      </w:r>
      <w:r>
        <w:fldChar w:fldCharType="separate"/>
      </w:r>
      <w:r>
        <w:rPr>
          <w:rStyle w:val="27"/>
          <w:rFonts w:ascii="Times New Roman" w:hAnsi="Times New Roman"/>
          <w:sz w:val="24"/>
          <w:szCs w:val="24"/>
        </w:rPr>
        <w:t>5.2  模式地理位置分布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_Toc7858026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"_Toc7858027" </w:instrText>
      </w:r>
      <w:r>
        <w:fldChar w:fldCharType="separate"/>
      </w:r>
      <w:r>
        <w:rPr>
          <w:rStyle w:val="27"/>
          <w:rFonts w:ascii="Times New Roman" w:hAnsi="Times New Roman"/>
          <w:sz w:val="24"/>
          <w:szCs w:val="24"/>
        </w:rPr>
        <w:t>5.3  地址单词与流量模式关系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_Toc7858027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"_Toc7858028" </w:instrText>
      </w:r>
      <w:r>
        <w:fldChar w:fldCharType="separate"/>
      </w:r>
      <w:r>
        <w:rPr>
          <w:rStyle w:val="27"/>
          <w:rFonts w:ascii="Times New Roman" w:hAnsi="Times New Roman"/>
          <w:i w:val="0"/>
          <w:sz w:val="24"/>
          <w:szCs w:val="24"/>
        </w:rPr>
        <w:t>5.3.1  统计词频量</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_Toc7858028 \h </w:instrText>
      </w:r>
      <w:r>
        <w:rPr>
          <w:rFonts w:ascii="Times New Roman" w:hAnsi="Times New Roman"/>
          <w:i w:val="0"/>
          <w:sz w:val="24"/>
          <w:szCs w:val="24"/>
        </w:rPr>
        <w:fldChar w:fldCharType="separate"/>
      </w:r>
      <w:r>
        <w:rPr>
          <w:rFonts w:ascii="Times New Roman" w:hAnsi="Times New Roman"/>
          <w:i w:val="0"/>
          <w:sz w:val="24"/>
          <w:szCs w:val="24"/>
        </w:rPr>
        <w:t>34</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"_Toc7858029" </w:instrText>
      </w:r>
      <w:r>
        <w:fldChar w:fldCharType="separate"/>
      </w:r>
      <w:r>
        <w:rPr>
          <w:rStyle w:val="27"/>
          <w:rFonts w:ascii="Times New Roman" w:hAnsi="Times New Roman"/>
          <w:i w:val="0"/>
          <w:sz w:val="24"/>
          <w:szCs w:val="24"/>
        </w:rPr>
        <w:t>5.3.2  建立词向量</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_Toc7858029 \h </w:instrText>
      </w:r>
      <w:r>
        <w:rPr>
          <w:rFonts w:ascii="Times New Roman" w:hAnsi="Times New Roman"/>
          <w:i w:val="0"/>
          <w:sz w:val="24"/>
          <w:szCs w:val="24"/>
        </w:rPr>
        <w:fldChar w:fldCharType="separate"/>
      </w:r>
      <w:r>
        <w:rPr>
          <w:rFonts w:ascii="Times New Roman" w:hAnsi="Times New Roman"/>
          <w:i w:val="0"/>
          <w:sz w:val="24"/>
          <w:szCs w:val="24"/>
        </w:rPr>
        <w:t>35</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"_Toc7858030" </w:instrText>
      </w:r>
      <w:r>
        <w:fldChar w:fldCharType="separate"/>
      </w:r>
      <w:r>
        <w:rPr>
          <w:rStyle w:val="27"/>
          <w:rFonts w:ascii="Times New Roman" w:hAnsi="Times New Roman"/>
          <w:i w:val="0"/>
          <w:sz w:val="24"/>
          <w:szCs w:val="24"/>
        </w:rPr>
        <w:t>5.3.3  单词信息熵</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_Toc7858030 \h </w:instrText>
      </w:r>
      <w:r>
        <w:rPr>
          <w:rFonts w:ascii="Times New Roman" w:hAnsi="Times New Roman"/>
          <w:i w:val="0"/>
          <w:sz w:val="24"/>
          <w:szCs w:val="24"/>
        </w:rPr>
        <w:fldChar w:fldCharType="separate"/>
      </w:r>
      <w:r>
        <w:rPr>
          <w:rFonts w:ascii="Times New Roman" w:hAnsi="Times New Roman"/>
          <w:i w:val="0"/>
          <w:sz w:val="24"/>
          <w:szCs w:val="24"/>
        </w:rPr>
        <w:t>36</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"_Toc7858031" </w:instrText>
      </w:r>
      <w:r>
        <w:fldChar w:fldCharType="separate"/>
      </w:r>
      <w:r>
        <w:rPr>
          <w:rStyle w:val="27"/>
          <w:rFonts w:ascii="Times New Roman" w:hAnsi="Times New Roman"/>
          <w:i w:val="0"/>
          <w:sz w:val="24"/>
          <w:szCs w:val="24"/>
        </w:rPr>
        <w:t>5.3.4  单词模式区分度</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_Toc7858031 \h </w:instrText>
      </w:r>
      <w:r>
        <w:rPr>
          <w:rFonts w:ascii="Times New Roman" w:hAnsi="Times New Roman"/>
          <w:i w:val="0"/>
          <w:sz w:val="24"/>
          <w:szCs w:val="24"/>
        </w:rPr>
        <w:fldChar w:fldCharType="separate"/>
      </w:r>
      <w:r>
        <w:rPr>
          <w:rFonts w:ascii="Times New Roman" w:hAnsi="Times New Roman"/>
          <w:i w:val="0"/>
          <w:sz w:val="24"/>
          <w:szCs w:val="24"/>
        </w:rPr>
        <w:t>36</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"_Toc7858032" </w:instrText>
      </w:r>
      <w:r>
        <w:fldChar w:fldCharType="separate"/>
      </w:r>
      <w:r>
        <w:rPr>
          <w:rStyle w:val="27"/>
          <w:rFonts w:ascii="Times New Roman" w:hAnsi="Times New Roman"/>
          <w:i w:val="0"/>
          <w:sz w:val="24"/>
          <w:szCs w:val="24"/>
        </w:rPr>
        <w:t>5.3.5  获得基站的表征</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_Toc7858032 \h </w:instrText>
      </w:r>
      <w:r>
        <w:rPr>
          <w:rFonts w:ascii="Times New Roman" w:hAnsi="Times New Roman"/>
          <w:i w:val="0"/>
          <w:sz w:val="24"/>
          <w:szCs w:val="24"/>
        </w:rPr>
        <w:fldChar w:fldCharType="separate"/>
      </w:r>
      <w:r>
        <w:rPr>
          <w:rFonts w:ascii="Times New Roman" w:hAnsi="Times New Roman"/>
          <w:i w:val="0"/>
          <w:sz w:val="24"/>
          <w:szCs w:val="24"/>
        </w:rPr>
        <w:t>38</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20"/>
        <w:tabs>
          <w:tab w:val="left" w:pos="1200"/>
          <w:tab w:val="right" w:leader="dot" w:pos="8494"/>
        </w:tabs>
        <w:ind w:firstLine="480"/>
        <w:rPr>
          <w:rFonts w:ascii="Times New Roman" w:hAnsi="Times New Roman"/>
          <w:smallCaps w:val="0"/>
          <w:sz w:val="24"/>
          <w:szCs w:val="24"/>
        </w:rPr>
      </w:pPr>
      <w:r>
        <w:fldChar w:fldCharType="begin"/>
      </w:r>
      <w:r>
        <w:instrText xml:space="preserve"> HYPERLINK \l "_Toc7858033" </w:instrText>
      </w:r>
      <w:r>
        <w:fldChar w:fldCharType="separate"/>
      </w:r>
      <w:r>
        <w:rPr>
          <w:rStyle w:val="27"/>
          <w:rFonts w:ascii="Times New Roman" w:hAnsi="Times New Roman"/>
          <w:sz w:val="24"/>
          <w:szCs w:val="24"/>
        </w:rPr>
        <w:t>5.4</w:t>
      </w:r>
      <w:r>
        <w:rPr>
          <w:rFonts w:ascii="Times New Roman" w:hAnsi="Times New Roman"/>
          <w:smallCaps w:val="0"/>
          <w:sz w:val="24"/>
          <w:szCs w:val="24"/>
        </w:rPr>
        <w:tab/>
      </w:r>
      <w:r>
        <w:rPr>
          <w:rStyle w:val="27"/>
          <w:rFonts w:ascii="Times New Roman" w:hAnsi="Times New Roman"/>
          <w:sz w:val="24"/>
          <w:szCs w:val="24"/>
        </w:rPr>
        <w:t>预测新建基站流量模式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_Toc7858033 \h </w:instrText>
      </w:r>
      <w:r>
        <w:rPr>
          <w:rFonts w:ascii="Times New Roman" w:hAnsi="Times New Roman"/>
          <w:sz w:val="24"/>
          <w:szCs w:val="24"/>
        </w:rPr>
        <w:fldChar w:fldCharType="separate"/>
      </w:r>
      <w:r>
        <w:rPr>
          <w:rFonts w:ascii="Times New Roman" w:hAnsi="Times New Roman"/>
          <w:sz w:val="24"/>
          <w:szCs w:val="24"/>
        </w:rPr>
        <w:t>38</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"_Toc7858034" </w:instrText>
      </w:r>
      <w:r>
        <w:fldChar w:fldCharType="separate"/>
      </w:r>
      <w:r>
        <w:rPr>
          <w:rStyle w:val="27"/>
          <w:rFonts w:ascii="Times New Roman" w:hAnsi="Times New Roman"/>
          <w:i w:val="0"/>
          <w:sz w:val="24"/>
          <w:szCs w:val="24"/>
        </w:rPr>
        <w:t>5.4.1  实验操作步骤</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_Toc7858034 \h </w:instrText>
      </w:r>
      <w:r>
        <w:rPr>
          <w:rFonts w:ascii="Times New Roman" w:hAnsi="Times New Roman"/>
          <w:i w:val="0"/>
          <w:sz w:val="24"/>
          <w:szCs w:val="24"/>
        </w:rPr>
        <w:fldChar w:fldCharType="separate"/>
      </w:r>
      <w:r>
        <w:rPr>
          <w:rFonts w:ascii="Times New Roman" w:hAnsi="Times New Roman"/>
          <w:i w:val="0"/>
          <w:sz w:val="24"/>
          <w:szCs w:val="24"/>
        </w:rPr>
        <w:t>38</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"_Toc7858035" </w:instrText>
      </w:r>
      <w:r>
        <w:fldChar w:fldCharType="separate"/>
      </w:r>
      <w:r>
        <w:rPr>
          <w:rStyle w:val="27"/>
          <w:rFonts w:ascii="Times New Roman" w:hAnsi="Times New Roman"/>
          <w:i w:val="0"/>
          <w:sz w:val="24"/>
          <w:szCs w:val="24"/>
        </w:rPr>
        <w:t>5.4.2  实验结果分析</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_Toc7858035 \h </w:instrText>
      </w:r>
      <w:r>
        <w:rPr>
          <w:rFonts w:ascii="Times New Roman" w:hAnsi="Times New Roman"/>
          <w:i w:val="0"/>
          <w:sz w:val="24"/>
          <w:szCs w:val="24"/>
        </w:rPr>
        <w:fldChar w:fldCharType="separate"/>
      </w:r>
      <w:r>
        <w:rPr>
          <w:rFonts w:ascii="Times New Roman" w:hAnsi="Times New Roman"/>
          <w:i w:val="0"/>
          <w:sz w:val="24"/>
          <w:szCs w:val="24"/>
        </w:rPr>
        <w:t>39</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"_Toc7858036" </w:instrText>
      </w:r>
      <w:r>
        <w:fldChar w:fldCharType="separate"/>
      </w:r>
      <w:r>
        <w:rPr>
          <w:rStyle w:val="27"/>
          <w:rFonts w:ascii="Times New Roman" w:hAnsi="Times New Roman"/>
          <w:sz w:val="24"/>
          <w:szCs w:val="24"/>
        </w:rPr>
        <w:t>5.5  基站流量模式的应用研究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_Toc7858036 \h </w:instrText>
      </w:r>
      <w:r>
        <w:rPr>
          <w:rFonts w:ascii="Times New Roman" w:hAnsi="Times New Roman"/>
          <w:sz w:val="24"/>
          <w:szCs w:val="24"/>
        </w:rPr>
        <w:fldChar w:fldCharType="separate"/>
      </w:r>
      <w:r>
        <w:rPr>
          <w:rFonts w:ascii="Times New Roman" w:hAnsi="Times New Roman"/>
          <w:sz w:val="24"/>
          <w:szCs w:val="24"/>
        </w:rPr>
        <w:t>41</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"_Toc7858037" </w:instrText>
      </w:r>
      <w:r>
        <w:fldChar w:fldCharType="separate"/>
      </w:r>
      <w:r>
        <w:rPr>
          <w:rStyle w:val="27"/>
          <w:rFonts w:ascii="Times New Roman" w:hAnsi="Times New Roman"/>
          <w:i w:val="0"/>
          <w:sz w:val="24"/>
          <w:szCs w:val="24"/>
        </w:rPr>
        <w:t>5.5.1  基站流量模式互补特性</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_Toc7858037 \h </w:instrText>
      </w:r>
      <w:r>
        <w:rPr>
          <w:rFonts w:ascii="Times New Roman" w:hAnsi="Times New Roman"/>
          <w:i w:val="0"/>
          <w:sz w:val="24"/>
          <w:szCs w:val="24"/>
        </w:rPr>
        <w:fldChar w:fldCharType="separate"/>
      </w:r>
      <w:r>
        <w:rPr>
          <w:rFonts w:ascii="Times New Roman" w:hAnsi="Times New Roman"/>
          <w:i w:val="0"/>
          <w:sz w:val="24"/>
          <w:szCs w:val="24"/>
        </w:rPr>
        <w:t>41</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0"/>
        <w:tabs>
          <w:tab w:val="right" w:leader="dot" w:pos="8494"/>
        </w:tabs>
        <w:ind w:firstLine="480"/>
        <w:rPr>
          <w:rFonts w:ascii="Times New Roman" w:hAnsi="Times New Roman"/>
          <w:i w:val="0"/>
          <w:iCs w:val="0"/>
          <w:sz w:val="24"/>
          <w:szCs w:val="24"/>
        </w:rPr>
      </w:pPr>
      <w:r>
        <w:fldChar w:fldCharType="begin"/>
      </w:r>
      <w:r>
        <w:instrText xml:space="preserve"> HYPERLINK \l "_Toc7858038" </w:instrText>
      </w:r>
      <w:r>
        <w:fldChar w:fldCharType="separate"/>
      </w:r>
      <w:r>
        <w:rPr>
          <w:rStyle w:val="27"/>
          <w:rFonts w:ascii="Times New Roman" w:hAnsi="Times New Roman"/>
          <w:i w:val="0"/>
          <w:sz w:val="24"/>
          <w:szCs w:val="24"/>
        </w:rPr>
        <w:t>5.5.2  基站流量模式其他应用</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_Toc7858038 \h </w:instrText>
      </w:r>
      <w:r>
        <w:rPr>
          <w:rFonts w:ascii="Times New Roman" w:hAnsi="Times New Roman"/>
          <w:i w:val="0"/>
          <w:sz w:val="24"/>
          <w:szCs w:val="24"/>
        </w:rPr>
        <w:fldChar w:fldCharType="separate"/>
      </w:r>
      <w:r>
        <w:rPr>
          <w:rFonts w:ascii="Times New Roman" w:hAnsi="Times New Roman"/>
          <w:i w:val="0"/>
          <w:sz w:val="24"/>
          <w:szCs w:val="24"/>
        </w:rPr>
        <w:t>42</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"_Toc7858039" </w:instrText>
      </w:r>
      <w:r>
        <w:fldChar w:fldCharType="separate"/>
      </w:r>
      <w:r>
        <w:rPr>
          <w:rStyle w:val="27"/>
          <w:rFonts w:ascii="Times New Roman" w:hAnsi="Times New Roman"/>
          <w:sz w:val="24"/>
          <w:szCs w:val="24"/>
        </w:rPr>
        <w:t>5.6  本章小结</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_Toc7858039 \h </w:instrText>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Pr>
          <w:rFonts w:ascii="Times New Roman" w:hAnsi="Times New Roman"/>
          <w:sz w:val="24"/>
          <w:szCs w:val="24"/>
        </w:rPr>
        <w:fldChar w:fldCharType="end"/>
      </w:r>
    </w:p>
    <w:p>
      <w:pPr>
        <w:pStyle w:val="17"/>
        <w:tabs>
          <w:tab w:val="right" w:leader="dot" w:pos="8494"/>
        </w:tabs>
        <w:ind w:firstLine="480"/>
        <w:rPr>
          <w:rFonts w:ascii="Times New Roman" w:hAnsi="Times New Roman"/>
          <w:b w:val="0"/>
          <w:bCs w:val="0"/>
          <w:caps w:val="0"/>
          <w:sz w:val="24"/>
          <w:szCs w:val="24"/>
        </w:rPr>
      </w:pPr>
      <w:r>
        <w:fldChar w:fldCharType="begin"/>
      </w:r>
      <w:r>
        <w:instrText xml:space="preserve"> HYPERLINK \l "_Toc7858040" </w:instrText>
      </w:r>
      <w:r>
        <w:fldChar w:fldCharType="separate"/>
      </w:r>
      <w:r>
        <w:rPr>
          <w:rStyle w:val="27"/>
          <w:rFonts w:ascii="Times New Roman" w:hAnsi="Times New Roman"/>
          <w:b w:val="0"/>
          <w:sz w:val="24"/>
          <w:szCs w:val="24"/>
        </w:rPr>
        <w:t>6  总结及展望</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_Toc7858040 \h </w:instrText>
      </w:r>
      <w:r>
        <w:rPr>
          <w:rFonts w:ascii="Times New Roman" w:hAnsi="Times New Roman"/>
          <w:b w:val="0"/>
          <w:sz w:val="24"/>
          <w:szCs w:val="24"/>
        </w:rPr>
        <w:fldChar w:fldCharType="separate"/>
      </w:r>
      <w:r>
        <w:rPr>
          <w:rFonts w:ascii="Times New Roman" w:hAnsi="Times New Roman"/>
          <w:b w:val="0"/>
          <w:sz w:val="24"/>
          <w:szCs w:val="24"/>
        </w:rPr>
        <w:t>43</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"_Toc7858041" </w:instrText>
      </w:r>
      <w:r>
        <w:fldChar w:fldCharType="separate"/>
      </w:r>
      <w:r>
        <w:rPr>
          <w:rStyle w:val="27"/>
          <w:rFonts w:ascii="Times New Roman" w:hAnsi="Times New Roman"/>
          <w:sz w:val="24"/>
          <w:szCs w:val="24"/>
        </w:rPr>
        <w:t>6.1  本文工作总结</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_Toc7858041 \h </w:instrText>
      </w:r>
      <w:r>
        <w:rPr>
          <w:rFonts w:ascii="Times New Roman" w:hAnsi="Times New Roman"/>
          <w:sz w:val="24"/>
          <w:szCs w:val="24"/>
        </w:rPr>
        <w:fldChar w:fldCharType="separate"/>
      </w:r>
      <w:r>
        <w:rPr>
          <w:rFonts w:ascii="Times New Roman" w:hAnsi="Times New Roman"/>
          <w:sz w:val="24"/>
          <w:szCs w:val="24"/>
        </w:rPr>
        <w:t>43</w:t>
      </w:r>
      <w:r>
        <w:rPr>
          <w:rFonts w:ascii="Times New Roman" w:hAnsi="Times New Roman"/>
          <w:sz w:val="24"/>
          <w:szCs w:val="24"/>
        </w:rPr>
        <w:fldChar w:fldCharType="end"/>
      </w:r>
      <w:r>
        <w:rPr>
          <w:rFonts w:ascii="Times New Roman" w:hAnsi="Times New Roman"/>
          <w:sz w:val="24"/>
          <w:szCs w:val="24"/>
        </w:rPr>
        <w:fldChar w:fldCharType="end"/>
      </w:r>
    </w:p>
    <w:p>
      <w:pPr>
        <w:pStyle w:val="20"/>
        <w:tabs>
          <w:tab w:val="right" w:leader="dot" w:pos="8494"/>
        </w:tabs>
        <w:ind w:firstLine="480"/>
        <w:rPr>
          <w:rFonts w:ascii="Times New Roman" w:hAnsi="Times New Roman"/>
          <w:smallCaps w:val="0"/>
          <w:sz w:val="24"/>
          <w:szCs w:val="24"/>
        </w:rPr>
      </w:pPr>
      <w:r>
        <w:fldChar w:fldCharType="begin"/>
      </w:r>
      <w:r>
        <w:instrText xml:space="preserve"> HYPERLINK \l "_Toc7858042" </w:instrText>
      </w:r>
      <w:r>
        <w:fldChar w:fldCharType="separate"/>
      </w:r>
      <w:r>
        <w:rPr>
          <w:rStyle w:val="27"/>
          <w:rFonts w:ascii="Times New Roman" w:hAnsi="Times New Roman"/>
          <w:sz w:val="24"/>
          <w:szCs w:val="24"/>
        </w:rPr>
        <w:t>6.2  未来工作展望</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_Toc7858042 \h </w:instrText>
      </w:r>
      <w:r>
        <w:rPr>
          <w:rFonts w:ascii="Times New Roman" w:hAnsi="Times New Roman"/>
          <w:sz w:val="24"/>
          <w:szCs w:val="24"/>
        </w:rPr>
        <w:fldChar w:fldCharType="separate"/>
      </w:r>
      <w:r>
        <w:rPr>
          <w:rFonts w:ascii="Times New Roman" w:hAnsi="Times New Roman"/>
          <w:sz w:val="24"/>
          <w:szCs w:val="24"/>
        </w:rPr>
        <w:t>44</w:t>
      </w:r>
      <w:r>
        <w:rPr>
          <w:rFonts w:ascii="Times New Roman" w:hAnsi="Times New Roman"/>
          <w:sz w:val="24"/>
          <w:szCs w:val="24"/>
        </w:rPr>
        <w:fldChar w:fldCharType="end"/>
      </w:r>
      <w:r>
        <w:rPr>
          <w:rFonts w:ascii="Times New Roman" w:hAnsi="Times New Roman"/>
          <w:sz w:val="24"/>
          <w:szCs w:val="24"/>
        </w:rPr>
        <w:fldChar w:fldCharType="end"/>
      </w:r>
    </w:p>
    <w:p>
      <w:pPr>
        <w:pStyle w:val="17"/>
        <w:tabs>
          <w:tab w:val="right" w:leader="dot" w:pos="8494"/>
        </w:tabs>
        <w:ind w:firstLine="480"/>
        <w:rPr>
          <w:rFonts w:ascii="Times New Roman" w:hAnsi="Times New Roman"/>
          <w:b w:val="0"/>
          <w:bCs w:val="0"/>
          <w:caps w:val="0"/>
          <w:sz w:val="24"/>
          <w:szCs w:val="24"/>
        </w:rPr>
      </w:pPr>
      <w:r>
        <w:fldChar w:fldCharType="begin"/>
      </w:r>
      <w:r>
        <w:instrText xml:space="preserve"> HYPERLINK \l "_Toc7858043" </w:instrText>
      </w:r>
      <w:r>
        <w:fldChar w:fldCharType="separate"/>
      </w:r>
      <w:r>
        <w:rPr>
          <w:rStyle w:val="27"/>
          <w:rFonts w:ascii="Times New Roman" w:hAnsi="Times New Roman"/>
          <w:b w:val="0"/>
          <w:sz w:val="24"/>
          <w:szCs w:val="24"/>
        </w:rPr>
        <w:t>参考文献</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_Toc7858043 \h </w:instrText>
      </w:r>
      <w:r>
        <w:rPr>
          <w:rFonts w:ascii="Times New Roman" w:hAnsi="Times New Roman"/>
          <w:b w:val="0"/>
          <w:sz w:val="24"/>
          <w:szCs w:val="24"/>
        </w:rPr>
        <w:fldChar w:fldCharType="separate"/>
      </w:r>
      <w:r>
        <w:rPr>
          <w:rFonts w:ascii="Times New Roman" w:hAnsi="Times New Roman"/>
          <w:b w:val="0"/>
          <w:sz w:val="24"/>
          <w:szCs w:val="24"/>
        </w:rPr>
        <w:t>45</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17"/>
        <w:tabs>
          <w:tab w:val="right" w:leader="dot" w:pos="8494"/>
        </w:tabs>
        <w:ind w:firstLine="480"/>
        <w:rPr>
          <w:rFonts w:ascii="Times New Roman" w:hAnsi="Times New Roman"/>
          <w:b w:val="0"/>
          <w:bCs w:val="0"/>
          <w:caps w:val="0"/>
          <w:sz w:val="24"/>
          <w:szCs w:val="24"/>
        </w:rPr>
      </w:pPr>
      <w:r>
        <w:fldChar w:fldCharType="begin"/>
      </w:r>
      <w:r>
        <w:instrText xml:space="preserve"> HYPERLINK \l "_Toc7858044" </w:instrText>
      </w:r>
      <w:r>
        <w:fldChar w:fldCharType="separate"/>
      </w:r>
      <w:r>
        <w:rPr>
          <w:rStyle w:val="27"/>
          <w:rFonts w:ascii="Times New Roman" w:hAnsi="Times New Roman"/>
          <w:b w:val="0"/>
          <w:sz w:val="24"/>
          <w:szCs w:val="24"/>
        </w:rPr>
        <w:t>作者简历及攻读硕士学位期间取得的研究成果</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_Toc7858044 \h </w:instrText>
      </w:r>
      <w:r>
        <w:rPr>
          <w:rFonts w:ascii="Times New Roman" w:hAnsi="Times New Roman"/>
          <w:b w:val="0"/>
          <w:sz w:val="24"/>
          <w:szCs w:val="24"/>
        </w:rPr>
        <w:fldChar w:fldCharType="separate"/>
      </w:r>
      <w:r>
        <w:rPr>
          <w:rFonts w:ascii="Times New Roman" w:hAnsi="Times New Roman"/>
          <w:b w:val="0"/>
          <w:sz w:val="24"/>
          <w:szCs w:val="24"/>
        </w:rPr>
        <w:t>48</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17"/>
        <w:tabs>
          <w:tab w:val="right" w:leader="dot" w:pos="8494"/>
        </w:tabs>
        <w:ind w:firstLine="480"/>
        <w:rPr>
          <w:rFonts w:ascii="Times New Roman" w:hAnsi="Times New Roman"/>
          <w:b w:val="0"/>
          <w:bCs w:val="0"/>
          <w:caps w:val="0"/>
          <w:sz w:val="24"/>
          <w:szCs w:val="24"/>
        </w:rPr>
      </w:pPr>
      <w:r>
        <w:fldChar w:fldCharType="begin"/>
      </w:r>
      <w:r>
        <w:instrText xml:space="preserve"> HYPERLINK \l "_Toc7858045" </w:instrText>
      </w:r>
      <w:r>
        <w:fldChar w:fldCharType="separate"/>
      </w:r>
      <w:r>
        <w:rPr>
          <w:rStyle w:val="27"/>
          <w:rFonts w:ascii="Times New Roman" w:hAnsi="Times New Roman"/>
          <w:b w:val="0"/>
          <w:sz w:val="24"/>
          <w:szCs w:val="24"/>
        </w:rPr>
        <w:t>独创性声明</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_Toc7858045 \h </w:instrText>
      </w:r>
      <w:r>
        <w:rPr>
          <w:rFonts w:ascii="Times New Roman" w:hAnsi="Times New Roman"/>
          <w:b w:val="0"/>
          <w:sz w:val="24"/>
          <w:szCs w:val="24"/>
        </w:rPr>
        <w:fldChar w:fldCharType="separate"/>
      </w:r>
      <w:r>
        <w:rPr>
          <w:rFonts w:ascii="Times New Roman" w:hAnsi="Times New Roman"/>
          <w:b w:val="0"/>
          <w:sz w:val="24"/>
          <w:szCs w:val="24"/>
        </w:rPr>
        <w:t>49</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17"/>
        <w:tabs>
          <w:tab w:val="right" w:leader="dot" w:pos="8494"/>
        </w:tabs>
        <w:ind w:firstLine="480"/>
        <w:rPr>
          <w:rFonts w:asciiTheme="minorHAnsi" w:hAnsiTheme="minorHAnsi" w:eastAsiaTheme="minorEastAsia" w:cstheme="minorBidi"/>
          <w:b w:val="0"/>
          <w:bCs w:val="0"/>
          <w:caps w:val="0"/>
          <w:sz w:val="21"/>
          <w:szCs w:val="22"/>
        </w:rPr>
      </w:pPr>
      <w:r>
        <w:fldChar w:fldCharType="begin"/>
      </w:r>
      <w:r>
        <w:instrText xml:space="preserve"> HYPERLINK \l "_Toc7858046" </w:instrText>
      </w:r>
      <w:r>
        <w:fldChar w:fldCharType="separate"/>
      </w:r>
      <w:r>
        <w:rPr>
          <w:rStyle w:val="27"/>
          <w:rFonts w:ascii="Times New Roman" w:hAnsi="Times New Roman"/>
          <w:b w:val="0"/>
          <w:sz w:val="24"/>
          <w:szCs w:val="24"/>
        </w:rPr>
        <w:t>学位论文数据集</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_Toc7858046 \h </w:instrText>
      </w:r>
      <w:r>
        <w:rPr>
          <w:rFonts w:ascii="Times New Roman" w:hAnsi="Times New Roman"/>
          <w:b w:val="0"/>
          <w:sz w:val="24"/>
          <w:szCs w:val="24"/>
        </w:rPr>
        <w:fldChar w:fldCharType="separate"/>
      </w:r>
      <w:r>
        <w:rPr>
          <w:rFonts w:ascii="Times New Roman" w:hAnsi="Times New Roman"/>
          <w:b w:val="0"/>
          <w:sz w:val="24"/>
          <w:szCs w:val="24"/>
        </w:rPr>
        <w:t>50</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36"/>
        <w:ind w:firstLine="200"/>
        <w:jc w:val="left"/>
      </w:pPr>
      <w:r>
        <w:rPr>
          <w:bCs/>
        </w:rPr>
        <w:fldChar w:fldCharType="end"/>
      </w:r>
    </w:p>
    <w:p>
      <w:pPr>
        <w:pStyle w:val="28"/>
        <w:jc w:val="both"/>
        <w:sectPr>
          <w:headerReference r:id="rId13" w:type="default"/>
          <w:pgSz w:w="11907" w:h="16840"/>
          <w:pgMar w:top="1701" w:right="1418" w:bottom="1418" w:left="1418" w:header="907" w:footer="851" w:gutter="567"/>
          <w:paperSrc w:first="31096" w:other="31096"/>
          <w:pgNumType w:fmt="lowerRoman"/>
          <w:cols w:space="720" w:num="1"/>
          <w:docGrid w:type="lines" w:linePitch="312" w:charSpace="0"/>
        </w:sectPr>
      </w:pPr>
    </w:p>
    <w:p>
      <w:pPr>
        <w:pStyle w:val="28"/>
      </w:pPr>
      <w:r>
        <w:t>缩略词表</w:t>
      </w:r>
      <w:bookmarkStart w:id="12" w:name="_Toc385763055"/>
      <w:bookmarkStart w:id="13" w:name="_Toc385763153"/>
      <w:bookmarkStart w:id="14" w:name="_Toc385763023"/>
      <w:bookmarkStart w:id="15" w:name="_Toc385762749"/>
      <w:bookmarkStart w:id="16" w:name="_Toc385763095"/>
    </w:p>
    <w:tbl>
      <w:tblPr>
        <w:tblStyle w:val="24"/>
        <w:tblW w:w="8340"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47"/>
        <w:gridCol w:w="3671"/>
        <w:gridCol w:w="2722"/>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947" w:type="dxa"/>
            <w:tcBorders>
              <w:bottom w:val="single" w:color="000000" w:sz="8" w:space="0"/>
            </w:tcBorders>
            <w:vAlign w:val="center"/>
          </w:tcPr>
          <w:p>
            <w:pPr>
              <w:pStyle w:val="36"/>
              <w:ind w:firstLine="480"/>
              <w:jc w:val="center"/>
            </w:pPr>
            <w:r>
              <w:t>英文缩写</w:t>
            </w:r>
          </w:p>
        </w:tc>
        <w:tc>
          <w:tcPr>
            <w:tcW w:w="3671" w:type="dxa"/>
            <w:tcBorders>
              <w:bottom w:val="single" w:color="000000" w:sz="8" w:space="0"/>
            </w:tcBorders>
            <w:vAlign w:val="center"/>
          </w:tcPr>
          <w:p>
            <w:pPr>
              <w:pStyle w:val="36"/>
              <w:ind w:firstLine="480"/>
              <w:jc w:val="center"/>
            </w:pPr>
            <w:r>
              <w:t>英文全称</w:t>
            </w:r>
          </w:p>
        </w:tc>
        <w:tc>
          <w:tcPr>
            <w:tcW w:w="2722" w:type="dxa"/>
            <w:tcBorders>
              <w:bottom w:val="single" w:color="000000" w:sz="8" w:space="0"/>
            </w:tcBorders>
            <w:vAlign w:val="center"/>
          </w:tcPr>
          <w:p>
            <w:pPr>
              <w:pStyle w:val="36"/>
              <w:ind w:firstLine="480"/>
              <w:jc w:val="center"/>
            </w:pPr>
            <w:r>
              <w:t>中文全称</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47" w:type="dxa"/>
            <w:vAlign w:val="center"/>
          </w:tcPr>
          <w:p>
            <w:pPr>
              <w:pStyle w:val="36"/>
              <w:ind w:firstLine="480"/>
              <w:jc w:val="center"/>
            </w:pPr>
            <w:r>
              <w:t>NLP</w:t>
            </w:r>
          </w:p>
        </w:tc>
        <w:tc>
          <w:tcPr>
            <w:tcW w:w="3671" w:type="dxa"/>
            <w:vAlign w:val="center"/>
          </w:tcPr>
          <w:p>
            <w:pPr>
              <w:pStyle w:val="36"/>
              <w:ind w:firstLine="480"/>
              <w:jc w:val="center"/>
            </w:pPr>
            <w:r>
              <w:t>Natural Language Processing</w:t>
            </w:r>
          </w:p>
        </w:tc>
        <w:tc>
          <w:tcPr>
            <w:tcW w:w="2722" w:type="dxa"/>
            <w:vAlign w:val="center"/>
          </w:tcPr>
          <w:p>
            <w:pPr>
              <w:pStyle w:val="36"/>
              <w:ind w:firstLine="480"/>
              <w:jc w:val="center"/>
            </w:pPr>
            <w:r>
              <w:t>自然语言处理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47" w:type="dxa"/>
            <w:vAlign w:val="center"/>
          </w:tcPr>
          <w:p>
            <w:pPr>
              <w:pStyle w:val="36"/>
              <w:ind w:firstLine="480"/>
              <w:jc w:val="center"/>
            </w:pPr>
            <w:r>
              <w:t>CDF</w:t>
            </w:r>
          </w:p>
        </w:tc>
        <w:tc>
          <w:tcPr>
            <w:tcW w:w="3671" w:type="dxa"/>
            <w:vAlign w:val="center"/>
          </w:tcPr>
          <w:p>
            <w:pPr>
              <w:pStyle w:val="36"/>
              <w:ind w:firstLine="480"/>
              <w:jc w:val="center"/>
            </w:pPr>
            <w:r>
              <w:t>Cumulative Distribution Function</w:t>
            </w:r>
          </w:p>
        </w:tc>
        <w:tc>
          <w:tcPr>
            <w:tcW w:w="2722" w:type="dxa"/>
            <w:vAlign w:val="center"/>
          </w:tcPr>
          <w:p>
            <w:pPr>
              <w:pStyle w:val="36"/>
              <w:ind w:firstLine="480"/>
              <w:jc w:val="center"/>
            </w:pPr>
            <w:r>
              <w:t>累积分布函数</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47" w:type="dxa"/>
            <w:vAlign w:val="center"/>
          </w:tcPr>
          <w:p>
            <w:pPr>
              <w:pStyle w:val="36"/>
              <w:ind w:firstLine="480"/>
              <w:jc w:val="center"/>
            </w:pPr>
            <w:r>
              <w:t>PDF</w:t>
            </w:r>
          </w:p>
        </w:tc>
        <w:tc>
          <w:tcPr>
            <w:tcW w:w="3671" w:type="dxa"/>
            <w:vAlign w:val="center"/>
          </w:tcPr>
          <w:p>
            <w:pPr>
              <w:pStyle w:val="36"/>
              <w:ind w:firstLine="480"/>
              <w:jc w:val="center"/>
            </w:pPr>
            <w:r>
              <w:t>Probability Density Function</w:t>
            </w:r>
          </w:p>
        </w:tc>
        <w:tc>
          <w:tcPr>
            <w:tcW w:w="2722" w:type="dxa"/>
            <w:vAlign w:val="center"/>
          </w:tcPr>
          <w:p>
            <w:pPr>
              <w:pStyle w:val="36"/>
              <w:ind w:firstLine="480"/>
              <w:jc w:val="center"/>
            </w:pPr>
            <w:r>
              <w:t>概率密度函数</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47" w:type="dxa"/>
            <w:vAlign w:val="center"/>
          </w:tcPr>
          <w:p>
            <w:pPr>
              <w:pStyle w:val="36"/>
              <w:ind w:firstLine="480"/>
              <w:jc w:val="center"/>
            </w:pPr>
            <w:r>
              <w:t>SMOTE</w:t>
            </w:r>
          </w:p>
        </w:tc>
        <w:tc>
          <w:tcPr>
            <w:tcW w:w="3671" w:type="dxa"/>
            <w:vAlign w:val="center"/>
          </w:tcPr>
          <w:p>
            <w:pPr>
              <w:pStyle w:val="36"/>
              <w:ind w:firstLine="480"/>
              <w:jc w:val="center"/>
            </w:pPr>
            <w:r>
              <w:t>Synthetic Minority Oversampling Technique</w:t>
            </w:r>
          </w:p>
        </w:tc>
        <w:tc>
          <w:tcPr>
            <w:tcW w:w="2722" w:type="dxa"/>
            <w:vAlign w:val="center"/>
          </w:tcPr>
          <w:p>
            <w:pPr>
              <w:pStyle w:val="36"/>
              <w:ind w:firstLine="480"/>
              <w:jc w:val="center"/>
            </w:pPr>
            <w:r>
              <w:t>合成少数类过采样技术</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47" w:type="dxa"/>
            <w:vAlign w:val="center"/>
          </w:tcPr>
          <w:p>
            <w:pPr>
              <w:pStyle w:val="36"/>
              <w:ind w:firstLine="480"/>
              <w:jc w:val="center"/>
            </w:pPr>
            <w:r>
              <w:t>RTT</w:t>
            </w:r>
          </w:p>
        </w:tc>
        <w:tc>
          <w:tcPr>
            <w:tcW w:w="3671" w:type="dxa"/>
            <w:vAlign w:val="center"/>
          </w:tcPr>
          <w:p>
            <w:pPr>
              <w:pStyle w:val="36"/>
              <w:ind w:firstLine="480"/>
              <w:jc w:val="center"/>
            </w:pPr>
            <w:r>
              <w:t>Round-Trip Time</w:t>
            </w:r>
          </w:p>
        </w:tc>
        <w:tc>
          <w:tcPr>
            <w:tcW w:w="2722" w:type="dxa"/>
            <w:vAlign w:val="center"/>
          </w:tcPr>
          <w:p>
            <w:pPr>
              <w:pStyle w:val="36"/>
              <w:ind w:firstLine="480"/>
              <w:jc w:val="center"/>
            </w:pPr>
            <w:r>
              <w:t>往返时延</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47" w:type="dxa"/>
            <w:vAlign w:val="center"/>
          </w:tcPr>
          <w:p>
            <w:pPr>
              <w:pStyle w:val="36"/>
              <w:ind w:firstLine="480"/>
              <w:jc w:val="center"/>
            </w:pPr>
            <w:r>
              <w:t>RNN</w:t>
            </w:r>
          </w:p>
        </w:tc>
        <w:tc>
          <w:tcPr>
            <w:tcW w:w="3671" w:type="dxa"/>
            <w:vAlign w:val="center"/>
          </w:tcPr>
          <w:p>
            <w:pPr>
              <w:pStyle w:val="36"/>
              <w:ind w:firstLine="480"/>
              <w:jc w:val="center"/>
            </w:pPr>
            <w:r>
              <w:t>Recurrent Neural Networks</w:t>
            </w:r>
          </w:p>
        </w:tc>
        <w:tc>
          <w:tcPr>
            <w:tcW w:w="2722" w:type="dxa"/>
            <w:vAlign w:val="center"/>
          </w:tcPr>
          <w:p>
            <w:pPr>
              <w:pStyle w:val="36"/>
              <w:ind w:firstLine="480"/>
              <w:jc w:val="center"/>
            </w:pPr>
            <w:r>
              <w:t>循环神经网络</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47" w:type="dxa"/>
            <w:vAlign w:val="center"/>
          </w:tcPr>
          <w:p>
            <w:pPr>
              <w:pStyle w:val="36"/>
              <w:ind w:firstLine="480"/>
              <w:jc w:val="center"/>
            </w:pPr>
            <w:r>
              <w:t>LR</w:t>
            </w:r>
          </w:p>
        </w:tc>
        <w:tc>
          <w:tcPr>
            <w:tcW w:w="3671" w:type="dxa"/>
            <w:vAlign w:val="center"/>
          </w:tcPr>
          <w:p>
            <w:pPr>
              <w:pStyle w:val="36"/>
              <w:ind w:firstLine="480"/>
              <w:jc w:val="center"/>
            </w:pPr>
            <w:r>
              <w:t>Logistic Regression</w:t>
            </w:r>
          </w:p>
        </w:tc>
        <w:tc>
          <w:tcPr>
            <w:tcW w:w="2722" w:type="dxa"/>
            <w:vAlign w:val="center"/>
          </w:tcPr>
          <w:p>
            <w:pPr>
              <w:pStyle w:val="36"/>
              <w:ind w:firstLine="480"/>
              <w:jc w:val="center"/>
            </w:pPr>
            <w:r>
              <w:t>逻辑回归</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47" w:type="dxa"/>
            <w:vAlign w:val="center"/>
          </w:tcPr>
          <w:p>
            <w:pPr>
              <w:pStyle w:val="36"/>
              <w:ind w:firstLine="480"/>
              <w:jc w:val="center"/>
            </w:pPr>
            <w:r>
              <w:t>KNN</w:t>
            </w:r>
          </w:p>
        </w:tc>
        <w:tc>
          <w:tcPr>
            <w:tcW w:w="3671" w:type="dxa"/>
            <w:vAlign w:val="center"/>
          </w:tcPr>
          <w:p>
            <w:pPr>
              <w:pStyle w:val="36"/>
              <w:ind w:firstLine="480"/>
              <w:jc w:val="center"/>
            </w:pPr>
            <w:r>
              <w:t>K-Nearest Neighbor</w:t>
            </w:r>
          </w:p>
        </w:tc>
        <w:tc>
          <w:tcPr>
            <w:tcW w:w="2722" w:type="dxa"/>
            <w:vAlign w:val="center"/>
          </w:tcPr>
          <w:p>
            <w:pPr>
              <w:pStyle w:val="36"/>
              <w:ind w:firstLine="480"/>
              <w:jc w:val="center"/>
            </w:pPr>
            <w:r>
              <w:t>k近邻</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47" w:type="dxa"/>
            <w:vAlign w:val="center"/>
          </w:tcPr>
          <w:p>
            <w:pPr>
              <w:pStyle w:val="36"/>
              <w:ind w:firstLine="480"/>
              <w:jc w:val="center"/>
            </w:pPr>
            <w:r>
              <w:t>MSE</w:t>
            </w:r>
          </w:p>
        </w:tc>
        <w:tc>
          <w:tcPr>
            <w:tcW w:w="3671" w:type="dxa"/>
            <w:vAlign w:val="center"/>
          </w:tcPr>
          <w:p>
            <w:pPr>
              <w:pStyle w:val="36"/>
              <w:ind w:firstLine="480"/>
              <w:jc w:val="center"/>
            </w:pPr>
            <w:r>
              <w:t>Mean Squared Error</w:t>
            </w:r>
          </w:p>
        </w:tc>
        <w:tc>
          <w:tcPr>
            <w:tcW w:w="2722" w:type="dxa"/>
            <w:vAlign w:val="center"/>
          </w:tcPr>
          <w:p>
            <w:pPr>
              <w:pStyle w:val="36"/>
              <w:ind w:firstLine="480"/>
              <w:jc w:val="center"/>
            </w:pPr>
            <w:r>
              <w:t>均方误差</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47" w:type="dxa"/>
            <w:vAlign w:val="center"/>
          </w:tcPr>
          <w:p>
            <w:pPr>
              <w:pStyle w:val="36"/>
              <w:ind w:firstLine="480"/>
              <w:jc w:val="center"/>
            </w:pPr>
            <w:r>
              <w:t>NLP</w:t>
            </w:r>
          </w:p>
        </w:tc>
        <w:tc>
          <w:tcPr>
            <w:tcW w:w="3671" w:type="dxa"/>
            <w:vAlign w:val="center"/>
          </w:tcPr>
          <w:p>
            <w:pPr>
              <w:pStyle w:val="36"/>
              <w:ind w:firstLine="480"/>
              <w:jc w:val="center"/>
            </w:pPr>
            <w:r>
              <w:t>Natural Language Processing</w:t>
            </w:r>
          </w:p>
        </w:tc>
        <w:tc>
          <w:tcPr>
            <w:tcW w:w="2722" w:type="dxa"/>
            <w:vAlign w:val="center"/>
          </w:tcPr>
          <w:p>
            <w:pPr>
              <w:pStyle w:val="36"/>
              <w:ind w:firstLine="480"/>
              <w:jc w:val="center"/>
            </w:pPr>
            <w:r>
              <w:t>自然语言处理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947" w:type="dxa"/>
            <w:vAlign w:val="center"/>
          </w:tcPr>
          <w:p>
            <w:pPr>
              <w:pStyle w:val="36"/>
              <w:ind w:firstLine="480"/>
              <w:jc w:val="center"/>
            </w:pPr>
            <w:r>
              <w:t>CBR</w:t>
            </w:r>
          </w:p>
        </w:tc>
        <w:tc>
          <w:tcPr>
            <w:tcW w:w="3671" w:type="dxa"/>
            <w:vAlign w:val="center"/>
          </w:tcPr>
          <w:p>
            <w:pPr>
              <w:pStyle w:val="36"/>
              <w:ind w:firstLine="480"/>
              <w:jc w:val="center"/>
            </w:pPr>
            <w:r>
              <w:t>Case-Based</w:t>
            </w:r>
            <w:r>
              <w:rPr>
                <w:rFonts w:hint="eastAsia"/>
              </w:rPr>
              <w:t xml:space="preserve"> </w:t>
            </w:r>
            <w:r>
              <w:t>Reasoning</w:t>
            </w:r>
          </w:p>
        </w:tc>
        <w:tc>
          <w:tcPr>
            <w:tcW w:w="2722" w:type="dxa"/>
            <w:vAlign w:val="center"/>
          </w:tcPr>
          <w:p>
            <w:pPr>
              <w:pStyle w:val="36"/>
              <w:ind w:firstLine="480"/>
              <w:jc w:val="center"/>
            </w:pPr>
            <w:r>
              <w:t>基于案例推理</w:t>
            </w:r>
          </w:p>
        </w:tc>
      </w:tr>
    </w:tbl>
    <w:p>
      <w:pPr>
        <w:pStyle w:val="41"/>
        <w:rPr>
          <w:rFonts w:eastAsia="宋体"/>
        </w:rPr>
        <w:sectPr>
          <w:headerReference r:id="rId14" w:type="default"/>
          <w:pgSz w:w="11907" w:h="16840"/>
          <w:pgMar w:top="1701" w:right="1418" w:bottom="1418" w:left="1418" w:header="907" w:footer="851" w:gutter="567"/>
          <w:paperSrc w:first="31096" w:other="31096"/>
          <w:pgNumType w:fmt="lowerRoman"/>
          <w:cols w:space="720" w:num="1"/>
          <w:docGrid w:type="lines" w:linePitch="312" w:charSpace="0"/>
        </w:sectPr>
      </w:pPr>
    </w:p>
    <w:p>
      <w:pPr>
        <w:pStyle w:val="41"/>
        <w:rPr>
          <w:szCs w:val="32"/>
        </w:rPr>
      </w:pPr>
      <w:bookmarkStart w:id="17" w:name="_Toc7857986"/>
      <w:r>
        <w:t>1  引言</w:t>
      </w:r>
      <w:bookmarkEnd w:id="12"/>
      <w:bookmarkEnd w:id="13"/>
      <w:bookmarkEnd w:id="14"/>
      <w:bookmarkEnd w:id="15"/>
      <w:bookmarkEnd w:id="16"/>
      <w:bookmarkEnd w:id="17"/>
    </w:p>
    <w:p>
      <w:pPr>
        <w:pStyle w:val="40"/>
      </w:pPr>
      <w:bookmarkStart w:id="18" w:name="_Toc6581131"/>
      <w:bookmarkStart w:id="19" w:name="_Toc7857987"/>
      <w:r>
        <w:t>1.1  研究背景</w:t>
      </w:r>
      <w:r>
        <w:rPr>
          <w:rFonts w:hint="eastAsia"/>
        </w:rPr>
        <w:t>和意义</w:t>
      </w:r>
      <w:bookmarkEnd w:id="18"/>
      <w:bookmarkEnd w:id="19"/>
    </w:p>
    <w:p>
      <w:pPr>
        <w:ind w:firstLine="480"/>
      </w:pPr>
      <w:r>
        <w:rPr>
          <w:rFonts w:hint="eastAsia" w:ascii="宋体" w:hAnsi="宋体" w:cs="宋体"/>
        </w:rPr>
        <w:t>随着4G</w:t>
      </w:r>
      <w:r>
        <w:rPr>
          <w:rFonts w:ascii="宋体" w:hAnsi="宋体" w:cs="宋体"/>
          <w:vertAlign w:val="superscript"/>
        </w:rPr>
        <w:t>[</w:t>
      </w:r>
      <w:r>
        <w:rPr>
          <w:rFonts w:ascii="宋体" w:hAnsi="宋体" w:cs="宋体"/>
          <w:vertAlign w:val="superscript"/>
        </w:rPr>
        <w:fldChar w:fldCharType="begin"/>
      </w:r>
      <w:r>
        <w:rPr>
          <w:rFonts w:ascii="宋体" w:hAnsi="宋体" w:cs="宋体"/>
          <w:vertAlign w:val="superscript"/>
        </w:rPr>
        <w:instrText xml:space="preserve"> REF BIB_hofer2018impact \h \* MERGEFORMAT </w:instrText>
      </w:r>
      <w:r>
        <w:rPr>
          <w:rFonts w:ascii="宋体" w:hAnsi="宋体" w:cs="宋体"/>
          <w:vertAlign w:val="superscript"/>
        </w:rPr>
        <w:fldChar w:fldCharType="separate"/>
      </w:r>
      <w:r>
        <w:rPr>
          <w:rFonts w:ascii="宋体" w:hAnsi="宋体"/>
          <w:vertAlign w:val="superscript"/>
        </w:rPr>
        <w:t>1</w:t>
      </w:r>
      <w:r>
        <w:rPr>
          <w:rFonts w:ascii="宋体" w:hAnsi="宋体" w:cs="宋体"/>
          <w:vertAlign w:val="superscript"/>
        </w:rPr>
        <w:fldChar w:fldCharType="end"/>
      </w:r>
      <w:r>
        <w:rPr>
          <w:rFonts w:ascii="宋体" w:hAnsi="宋体" w:cs="宋体"/>
          <w:vertAlign w:val="superscript"/>
        </w:rPr>
        <w:t>]</w:t>
      </w:r>
      <w:r>
        <w:rPr>
          <w:rFonts w:hint="eastAsia" w:ascii="宋体" w:hAnsi="宋体" w:cs="宋体"/>
        </w:rPr>
        <w:t>技术商用普及，基站作为承载网络流量的基础设施，分析挖掘其网络流量模式对</w:t>
      </w:r>
      <w:r>
        <w:rPr>
          <w:rFonts w:hint="eastAsia" w:ascii="宋体" w:hAnsi="宋体" w:cs="宋体"/>
          <w:szCs w:val="21"/>
        </w:rPr>
        <w:t>无线基站的运营方案制定、参数合理配置至关重要</w:t>
      </w:r>
      <w:r>
        <w:rPr>
          <w:rFonts w:hint="eastAsia" w:ascii="宋体" w:hAnsi="宋体" w:cs="宋体"/>
        </w:rPr>
        <w:t>。Markets and Markets网站分析指出，到2020年全球超过50％的设备和连接将在移动端完成（例如：智能手机、无人驾驶车，智能穿戴设备等），每月全球移动数据流量将超</w:t>
      </w:r>
      <w:r>
        <w:rPr>
          <w:rFonts w:hint="eastAsia"/>
        </w:rPr>
        <w:t>过30.6×10</w:t>
      </w:r>
      <w:r>
        <w:rPr>
          <w:rFonts w:hint="eastAsia"/>
          <w:vertAlign w:val="superscript"/>
        </w:rPr>
        <w:t>18</w:t>
      </w:r>
      <w:r>
        <w:rPr>
          <w:rFonts w:hint="eastAsia"/>
        </w:rPr>
        <w:t xml:space="preserve"> bytes，</w:t>
      </w:r>
      <w:r>
        <w:rPr>
          <w:rFonts w:hint="eastAsia" w:ascii="宋体" w:hAnsi="宋体" w:cs="宋体"/>
        </w:rPr>
        <w:t>同时该趋势将在可预见的未来继续下去。同时网络流量分析的市场规模将从2015年的7.6亿美元增长到2020年的23.2亿美元。每年</w:t>
      </w:r>
      <w:r>
        <w:t>SIGCOMM、SIGMETRICS等顶级会议中，都会有相当数量的文章致力于网络测量的研究。目前Cisco、华为等大型网络设备供应商以及很多初创公司（例如：Pluribus Networks, Logic Monitor, Big monitoring fabric）也都致力于网络流量分析的研究和产品开发当中。5G站点峰值下载速率可达1.5G/秒，最高可达4G普通下载速率的500倍，面对海量数据，基站流量的测量分析与模式挖掘十分必要。</w:t>
      </w:r>
    </w:p>
    <w:p>
      <w:pPr>
        <w:ind w:firstLine="480"/>
      </w:pPr>
      <w:r>
        <w:t>基站网络流量模式挖掘的主要目标是通过测量与分析基站数据，利用模式挖掘方法从大量基站数据中提取具有实际分析价值和意义的模式。这是一种无监督学习过程，我们并不知道能够从数据中提炼出的模式数量，同时每种模式具体特点也事先未知。基站流量数据与其他类型数据有所不同，首先它具有明显地理分布特点，即不同的地理位置其流量变化特征；其次，基站流量数据来源于海量用户的移动设备使用记录，它在一定程度上反映了人类活动的特征，所以像节假日、用户所在城市、季节变化等只要能够对用户造成影响的特征都能够影响到基站流量变化。所以在制定模式划分规则时，一定要结合当地区域特性、特殊事件等社会因素，只有这样我们提取的基站网络流量模式才能够有实际意义。因此分析测量基站流量数据特点、制定切实合理模式规则是基站网络流量模式挖掘的重要内容。</w:t>
      </w:r>
    </w:p>
    <w:p>
      <w:pPr>
        <w:ind w:firstLine="480"/>
      </w:pPr>
      <w:r>
        <w:t>在模式挖掘的过程中，基站流量模式能够具有结合实际的解释性尤为重要。现实的基站使用运营情况中，基站的流量动态变化与其安置地的地域特征，社会事件高度相关，同时具体研究过程也要以运营商和管理者的角度去分析哪些基站流量特点需要格外关注。比如作为大型电商城市，在“双11”电商购物节时期的基站流量模式特点和模式分布情况就需要重点考虑，这是对运营和管理有意义的部分，所以在模式挖掘的过程中，基站流量模式能够具有结合实际的解释性尤为重要。</w:t>
      </w:r>
      <w:bookmarkStart w:id="20" w:name="OLE_LINK43"/>
      <w:bookmarkEnd w:id="20"/>
      <w:bookmarkStart w:id="21" w:name="OLE_LINK15"/>
      <w:bookmarkEnd w:id="21"/>
      <w:bookmarkStart w:id="22" w:name="OLE_LINK16"/>
      <w:bookmarkEnd w:id="22"/>
      <w:bookmarkStart w:id="23" w:name="OLE_LINK44"/>
      <w:bookmarkEnd w:id="23"/>
    </w:p>
    <w:p>
      <w:pPr>
        <w:ind w:firstLine="480"/>
      </w:pPr>
      <w:r>
        <w:t>除了模式挖掘，对基站流量模式的预测也非常重要。对于新建基站，如果能利用已有的信息预测出该基站的流量模式，就能够提前掌握该基站流量变化的特性，对此可以提前规划该基站的参数配置，运营方案等。</w:t>
      </w:r>
    </w:p>
    <w:p>
      <w:pPr>
        <w:ind w:firstLine="480"/>
      </w:pPr>
      <w:r>
        <w:t>本文重点从模型的可解释性上出发，通过对大规模实际数据的多角度测量分析，发现数据的一般规律，然后提出针对数据特点的新的聚类算法，获得具有良好可解释性的基站流量模式聚类结果，然后系统评估基站流量模式和基站地理位置及基站地址语义信息的相关性，提出基于基站地理位置和地址语义信息的模式预测模型。这些工作对运营商提升基站运营效率、节约基站运营成本具有重要意义。</w:t>
      </w:r>
    </w:p>
    <w:p>
      <w:pPr>
        <w:pStyle w:val="40"/>
      </w:pPr>
      <w:bookmarkStart w:id="24" w:name="_Toc503120193"/>
      <w:bookmarkStart w:id="25" w:name="_Toc6581132"/>
      <w:bookmarkStart w:id="26" w:name="_Toc7857988"/>
      <w:bookmarkStart w:id="27" w:name="_Toc507493681"/>
      <w:bookmarkStart w:id="28" w:name="_Toc503296616"/>
      <w:bookmarkStart w:id="29" w:name="_Toc6320044"/>
      <w:r>
        <w:t>1.</w:t>
      </w:r>
      <w:r>
        <w:rPr>
          <w:rFonts w:hint="eastAsia"/>
        </w:rPr>
        <w:t>2</w:t>
      </w:r>
      <w:r>
        <w:t xml:space="preserve">  国内外研究现状</w:t>
      </w:r>
      <w:bookmarkEnd w:id="24"/>
      <w:bookmarkEnd w:id="25"/>
      <w:bookmarkEnd w:id="26"/>
      <w:bookmarkEnd w:id="27"/>
      <w:bookmarkEnd w:id="28"/>
    </w:p>
    <w:p>
      <w:pPr>
        <w:pStyle w:val="37"/>
      </w:pPr>
      <w:bookmarkStart w:id="30" w:name="_Toc7857989"/>
      <w:r>
        <w:rPr>
          <w:rFonts w:hint="eastAsia"/>
        </w:rPr>
        <w:t>1.2.1  研究现状</w:t>
      </w:r>
      <w:bookmarkEnd w:id="29"/>
      <w:bookmarkEnd w:id="30"/>
    </w:p>
    <w:p>
      <w:pPr>
        <w:ind w:firstLine="480"/>
      </w:pPr>
      <w:r>
        <w:t>本小节介绍现阶段国内外基站网络流量模式挖掘以及应用研究情况，说明</w:t>
      </w:r>
      <w:r>
        <w:rPr>
          <w:rFonts w:hint="eastAsia"/>
        </w:rPr>
        <w:t>其</w:t>
      </w:r>
      <w:r>
        <w:t>不足，具体来说，可以分为以下几个方面：</w:t>
      </w:r>
    </w:p>
    <w:p>
      <w:pPr>
        <w:ind w:left="2" w:leftChars="1" w:firstLine="480"/>
      </w:pPr>
      <w:bookmarkStart w:id="31" w:name="OLE_LINK17"/>
      <w:bookmarkStart w:id="32" w:name="OLE_LINK25"/>
      <w:r>
        <w:t>(</w:t>
      </w:r>
      <w:r>
        <w:rPr>
          <w:rFonts w:hint="eastAsia"/>
        </w:rPr>
        <w:t>1</w:t>
      </w:r>
      <w:r>
        <w:t>) 目前基站流量模式挖掘主要做法之一是通过对网络流量时空模式</w:t>
      </w:r>
      <w:bookmarkEnd w:id="31"/>
      <w:bookmarkEnd w:id="32"/>
      <w:r>
        <w:t>的分析测量，建立</w:t>
      </w:r>
      <w:r>
        <w:rPr>
          <w:rFonts w:hint="eastAsia"/>
        </w:rPr>
        <w:t>统计</w:t>
      </w:r>
      <w:r>
        <w:t>模型，</w:t>
      </w:r>
      <w:r>
        <w:rPr>
          <w:rFonts w:hint="eastAsia"/>
        </w:rPr>
        <w:t>这些模型反映了流量的分布规律，但不能刻画基站流量的演变过程</w:t>
      </w:r>
      <w:r>
        <w:t>。文献[</w:t>
      </w:r>
      <w:r>
        <w:fldChar w:fldCharType="begin"/>
      </w:r>
      <w:r>
        <w:instrText xml:space="preserve"> REF BIB_lee2014spatial \h \* MERGEFORMAT </w:instrText>
      </w:r>
      <w:r>
        <w:fldChar w:fldCharType="separate"/>
      </w:r>
      <w:r>
        <w:t>2</w:t>
      </w:r>
      <w:r>
        <w:fldChar w:fldCharType="end"/>
      </w:r>
      <w:r>
        <w:t>]中首先对我国商业蜂窝网络的流量测量数据进行了分析测量，论证了基于时间和空间的对数正态分布和</w:t>
      </w:r>
      <w:bookmarkStart w:id="33" w:name="OLE_LINK45"/>
      <w:bookmarkStart w:id="34" w:name="OLE_LINK21"/>
      <w:bookmarkStart w:id="35" w:name="OLE_LINK20"/>
      <w:r>
        <w:t>威布尔分布</w:t>
      </w:r>
      <w:bookmarkEnd w:id="33"/>
      <w:bookmarkEnd w:id="34"/>
      <w:bookmarkEnd w:id="35"/>
      <w:r>
        <w:t>可以近似表示流量密度(单位面积的流量负载)的空间分布。该文章提出了一种时空流量模型，该模型通过一组正弦信号的叠加模拟大规模时空流量变化。文献[</w:t>
      </w:r>
      <w:r>
        <w:fldChar w:fldCharType="begin"/>
      </w:r>
      <w:r>
        <w:instrText xml:space="preserve"> REF BIB_shafiq2011characterizing \h \* MERGEFORMAT </w:instrText>
      </w:r>
      <w:r>
        <w:fldChar w:fldCharType="separate"/>
      </w:r>
      <w:r>
        <w:t>3</w:t>
      </w:r>
      <w:r>
        <w:fldChar w:fldCharType="end"/>
      </w:r>
      <w:r>
        <w:t>]测量和描述了移动互联网流量的时空动态,提出了一种类似</w:t>
      </w:r>
      <w:bookmarkStart w:id="36" w:name="OLE_LINK14"/>
      <w:r>
        <w:t>zipf</w:t>
      </w:r>
      <w:bookmarkEnd w:id="36"/>
      <w:r>
        <w:t>的模型来捕捉应用流量的体积分布，以及一种马尔科夫模型来捕捉聚合互联网流量的体积动态。文献[</w:t>
      </w:r>
      <w:r>
        <w:fldChar w:fldCharType="begin"/>
      </w:r>
      <w:r>
        <w:instrText xml:space="preserve"> REF BIB_zhang2008traffic \h \* MERGEFORMAT </w:instrText>
      </w:r>
      <w:r>
        <w:fldChar w:fldCharType="separate"/>
      </w:r>
      <w:r>
        <w:t>4</w:t>
      </w:r>
      <w:r>
        <w:fldChar w:fldCharType="end"/>
      </w:r>
      <w:r>
        <w:t>]首先统计了该区域基站流量，表明对数正态混合分布可以精确地模拟基站连接密度和用户体验数据速率的空间分布，并且构建了一个能够生成不同基站连接密度和用户体验数据速率的综合基站的网络能力模型。文献[</w:t>
      </w:r>
      <w:r>
        <w:fldChar w:fldCharType="begin"/>
      </w:r>
      <w:r>
        <w:instrText xml:space="preserve"> REF BIB_tang2017a \h \* MERGEFORMAT </w:instrText>
      </w:r>
      <w:r>
        <w:fldChar w:fldCharType="separate"/>
      </w:r>
      <w:r>
        <w:t>5</w:t>
      </w:r>
      <w:r>
        <w:fldChar w:fldCharType="end"/>
      </w:r>
      <w:r>
        <w:t>]建立了一个5周的模板来描述时间波动的半周期模式，并提出了一套定量指标来度量假日流量对该模板的偏差。结果揭示了公共假期的不同效应。在短假期(最长3天)，</w:t>
      </w:r>
      <w:r>
        <w:rPr>
          <w:rFonts w:hint="eastAsia"/>
        </w:rPr>
        <w:t>网络流量</w:t>
      </w:r>
      <w:r>
        <w:t>会比正常时间略高一些，而这种影响在相邻的几天内是有限的。对于长假(长达7天)，</w:t>
      </w:r>
      <w:r>
        <w:rPr>
          <w:rFonts w:hint="eastAsia"/>
        </w:rPr>
        <w:t>网络流量</w:t>
      </w:r>
      <w:r>
        <w:t>会有较大的拉动或推动作用，前一周和后一周的交通量也是如此。</w:t>
      </w:r>
    </w:p>
    <w:p>
      <w:pPr>
        <w:ind w:left="2" w:leftChars="1" w:firstLine="480"/>
      </w:pPr>
      <w:r>
        <w:t>(</w:t>
      </w:r>
      <w:r>
        <w:rPr>
          <w:rFonts w:hint="eastAsia"/>
        </w:rPr>
        <w:t>2</w:t>
      </w:r>
      <w:r>
        <w:t>) 目前对</w:t>
      </w:r>
      <w:r>
        <w:rPr>
          <w:rFonts w:hint="eastAsia"/>
        </w:rPr>
        <w:t>无线网络</w:t>
      </w:r>
      <w:r>
        <w:t>流量数据</w:t>
      </w:r>
      <w:r>
        <w:rPr>
          <w:rFonts w:hint="eastAsia"/>
        </w:rPr>
        <w:t>的</w:t>
      </w:r>
      <w:r>
        <w:t>模式挖掘</w:t>
      </w:r>
      <w:r>
        <w:rPr>
          <w:rFonts w:hint="eastAsia"/>
        </w:rPr>
        <w:t>工作，</w:t>
      </w:r>
      <w:r>
        <w:t>主要目标是</w:t>
      </w:r>
      <w:r>
        <w:rPr>
          <w:rFonts w:hint="eastAsia"/>
        </w:rPr>
        <w:t>研究用户的网络使用行为或短期</w:t>
      </w:r>
      <w:r>
        <w:t>活动模式</w:t>
      </w:r>
      <w:r>
        <w:rPr>
          <w:rFonts w:hint="eastAsia"/>
        </w:rPr>
        <w:t>带来的短期网络流量模式（如以天为周期的模式变化）</w:t>
      </w:r>
      <w:r>
        <w:t>，</w:t>
      </w:r>
      <w:r>
        <w:rPr>
          <w:rFonts w:hint="eastAsia"/>
        </w:rPr>
        <w:t>尚没有以年为跨度的长期流量模式的预测和模型研究</w:t>
      </w:r>
      <w:r>
        <w:t>。文献[</w:t>
      </w:r>
      <w:r>
        <w:fldChar w:fldCharType="begin"/>
      </w:r>
      <w:r>
        <w:instrText xml:space="preserve"> REF BIB_paraskevopoulos2013 \h \* MERGEFORMAT </w:instrText>
      </w:r>
      <w:r>
        <w:fldChar w:fldCharType="separate"/>
      </w:r>
      <w:r>
        <w:t>6</w:t>
      </w:r>
      <w:r>
        <w:fldChar w:fldCharType="end"/>
      </w:r>
      <w:r>
        <w:t>]根据移动流量数据对表现出相似特征的行为进行了分类，并对异常行为进行了分析和表征，开发</w:t>
      </w:r>
      <w:r>
        <w:rPr>
          <w:rFonts w:hint="eastAsia"/>
        </w:rPr>
        <w:t>了</w:t>
      </w:r>
      <w:r>
        <w:t>一种方法用于提取和表征正常的用户行为模式以及识别异常行为。文章将这些行为与同一时期发生的重要事件(如国家和宗教节日)联系起来，并研究所观察到的行为与这些事件的相互作用。文献[</w:t>
      </w:r>
      <w:r>
        <w:fldChar w:fldCharType="begin"/>
      </w:r>
      <w:r>
        <w:instrText xml:space="preserve"> REF BIB_paul2011understanding \h \* MERGEFORMAT </w:instrText>
      </w:r>
      <w:r>
        <w:fldChar w:fldCharType="separate"/>
      </w:r>
      <w:r>
        <w:t>7</w:t>
      </w:r>
      <w:r>
        <w:fldChar w:fldCharType="end"/>
      </w:r>
      <w:r>
        <w:t>]利用全国3G蜂窝数据网络内采集的大规模数据集，对网络流量使用情况和用户行为进行了详细的测量分析，分析了用户移动与时间的活动模式并确定了它们与业务量的关系。文献[</w:t>
      </w:r>
      <w:r>
        <w:fldChar w:fldCharType="begin"/>
      </w:r>
      <w:r>
        <w:instrText xml:space="preserve"> REF BIB_primaryusers \h \* MERGEFORMAT </w:instrText>
      </w:r>
      <w:r>
        <w:fldChar w:fldCharType="separate"/>
      </w:r>
      <w:r>
        <w:t>8</w:t>
      </w:r>
      <w:r>
        <w:fldChar w:fldCharType="end"/>
      </w:r>
      <w:r>
        <w:t>]通过分析蜂窝网络运营商内部收集的数据集，对蜂窝网络的主要用途提供了一种独特的、互补的分析。研究发现调用持续时间与常用的指数分布有明显的偏差，这使得基于调用的建模更加复杂。研究还展示了一个不使用调用持续时间的随机游走过程，它通常可以用来建模聚合单元的容量。文献[</w:t>
      </w:r>
      <w:r>
        <w:fldChar w:fldCharType="begin"/>
      </w:r>
      <w:r>
        <w:instrText xml:space="preserve"> REF BIB_girardin2009towards \h \* MERGEFORMAT </w:instrText>
      </w:r>
      <w:r>
        <w:fldChar w:fldCharType="separate"/>
      </w:r>
      <w:r>
        <w:t>9</w:t>
      </w:r>
      <w:r>
        <w:fldChar w:fldCharType="end"/>
      </w:r>
      <w:r>
        <w:t>]使用聚合的移动手机信息来挖掘游客的行为以代替人工分析。他们使用一个传播模型对研究区域进行划分，提取网络的不同时间和空间模式，最后他们绘制了堆叠的柱状图来显示</w:t>
      </w:r>
      <w:r>
        <w:rPr>
          <w:rFonts w:hint="eastAsia"/>
        </w:rPr>
        <w:t>每天、每季度的模式。</w:t>
      </w:r>
      <w:r>
        <w:t>文献[</w:t>
      </w:r>
      <w:r>
        <w:fldChar w:fldCharType="begin"/>
      </w:r>
      <w:r>
        <w:instrText xml:space="preserve"> REF BIB_zhang2016mobile \h \* MERGEFORMAT </w:instrText>
      </w:r>
      <w:r>
        <w:fldChar w:fldCharType="separate"/>
      </w:r>
      <w:r>
        <w:t>10</w:t>
      </w:r>
      <w:r>
        <w:fldChar w:fldCharType="end"/>
      </w:r>
      <w:r>
        <w:t>]的目的是挖掘基站流量模式，揭示城市环境中人类活动与基站流量模式之间的关系。该研究提出了一种新方法并设计了一个功能强大的分析系统。基站真实的6400个基站数据，该文章确定了与不同人群日常活动模式相对应的五种日常流量模式。其次，该文章从每周的移动流量消费趋势中又可以提取出两种自然模式，从另外的角度反映了人类的活动模式。</w:t>
      </w:r>
    </w:p>
    <w:p>
      <w:pPr>
        <w:ind w:left="2" w:leftChars="1" w:firstLine="480"/>
      </w:pPr>
      <w:r>
        <w:t>(</w:t>
      </w:r>
      <w:r>
        <w:rPr>
          <w:rFonts w:hint="eastAsia"/>
        </w:rPr>
        <w:t>3</w:t>
      </w:r>
      <w:r>
        <w:t>) 在基站流量模式预测方面，现有的预测方式主要依据</w:t>
      </w:r>
      <w:r>
        <w:rPr>
          <w:rFonts w:hint="eastAsia"/>
        </w:rPr>
        <w:t>长时期、多周期的</w:t>
      </w:r>
      <w:r>
        <w:t>历史</w:t>
      </w:r>
      <w:r>
        <w:rPr>
          <w:rFonts w:hint="eastAsia"/>
        </w:rPr>
        <w:t>流量</w:t>
      </w:r>
      <w:r>
        <w:t>数据</w:t>
      </w:r>
      <w:r>
        <w:rPr>
          <w:rFonts w:hint="eastAsia"/>
        </w:rPr>
        <w:t>中体现的流量演变规律</w:t>
      </w:r>
      <w:r>
        <w:t>，</w:t>
      </w:r>
      <w:r>
        <w:rPr>
          <w:rFonts w:hint="eastAsia"/>
        </w:rPr>
        <w:t>对未来的流量进行预测，尚没有预测基站所属流量演变模式的预测研究。</w:t>
      </w:r>
      <w:r>
        <w:t>文献[</w:t>
      </w:r>
      <w:r>
        <w:fldChar w:fldCharType="begin"/>
      </w:r>
      <w:r>
        <w:instrText xml:space="preserve"> REF BIB_zhang2008traffic \h \* MERGEFORMAT </w:instrText>
      </w:r>
      <w:r>
        <w:fldChar w:fldCharType="separate"/>
      </w:r>
      <w:r>
        <w:t>4</w:t>
      </w:r>
      <w:r>
        <w:fldChar w:fldCharType="end"/>
      </w:r>
      <w:r>
        <w:t>]对3G网络流量模式的预测进行了大量的研究。介绍了一种基于马尔可夫模型的接入点中心方法。对该方法的可行性进行了评价，并对不同阶值预测器的预测性能进行了比较。最后得出结论：</w:t>
      </w:r>
      <w:bookmarkStart w:id="37" w:name="OLE_LINK35"/>
      <w:bookmarkStart w:id="38" w:name="OLE_LINK36"/>
      <w:r>
        <w:t>阶值</w:t>
      </w:r>
      <w:r>
        <w:rPr>
          <w:rFonts w:hint="eastAsia"/>
        </w:rPr>
        <w:t>为4的</w:t>
      </w:r>
      <w:r>
        <w:t>马尔可夫模型</w:t>
      </w:r>
      <w:bookmarkEnd w:id="37"/>
      <w:bookmarkEnd w:id="38"/>
      <w:r>
        <w:t>[</w:t>
      </w:r>
      <w:r>
        <w:fldChar w:fldCharType="begin"/>
      </w:r>
      <w:r>
        <w:instrText xml:space="preserve"> REF BIB_macqueen1967some \h \* MERGEFORMAT </w:instrText>
      </w:r>
      <w:r>
        <w:fldChar w:fldCharType="separate"/>
      </w:r>
      <w:r>
        <w:t>11</w:t>
      </w:r>
      <w:r>
        <w:fldChar w:fldCharType="end"/>
      </w:r>
      <w:r>
        <w:t>]对于单步提前和多步提前的流量模式预测都是有效的。文献[</w:t>
      </w:r>
      <w:r>
        <w:fldChar w:fldCharType="begin"/>
      </w:r>
      <w:r>
        <w:instrText xml:space="preserve"> REF BIB_yao2006prediction \h \* MERGEFORMAT </w:instrText>
      </w:r>
      <w:r>
        <w:fldChar w:fldCharType="separate"/>
      </w:r>
      <w:r>
        <w:t>12</w:t>
      </w:r>
      <w:r>
        <w:fldChar w:fldCharType="end"/>
      </w:r>
      <w:r>
        <w:t>]中提出了一种新的移动蜂窝网络流量均衡方法，通过预测无线覆盖的变化来提前预防网络拥塞。基于案例的推理(</w:t>
      </w:r>
      <w:bookmarkStart w:id="39" w:name="OLE_LINK38"/>
      <w:bookmarkStart w:id="40" w:name="OLE_LINK37"/>
      <w:r>
        <w:t>CBR</w:t>
      </w:r>
      <w:bookmarkEnd w:id="39"/>
      <w:bookmarkEnd w:id="40"/>
      <w:r>
        <w:rPr>
          <w:vertAlign w:val="superscript"/>
        </w:rPr>
        <w:t>[</w:t>
      </w:r>
      <w:r>
        <w:rPr>
          <w:vertAlign w:val="superscript"/>
        </w:rPr>
        <w:fldChar w:fldCharType="begin"/>
      </w:r>
      <w:r>
        <w:rPr>
          <w:vertAlign w:val="superscript"/>
        </w:rPr>
        <w:instrText xml:space="preserve"> REF BIB_aamodt1994case \h \* MERGEFORMAT </w:instrText>
      </w:r>
      <w:r>
        <w:rPr>
          <w:vertAlign w:val="superscript"/>
        </w:rPr>
        <w:fldChar w:fldCharType="separate"/>
      </w:r>
      <w:r>
        <w:rPr>
          <w:vertAlign w:val="superscript"/>
        </w:rPr>
        <w:t>13</w:t>
      </w:r>
      <w:r>
        <w:rPr>
          <w:vertAlign w:val="superscript"/>
        </w:rPr>
        <w:fldChar w:fldCharType="end"/>
      </w:r>
      <w:r>
        <w:rPr>
          <w:vertAlign w:val="superscript"/>
        </w:rPr>
        <w:t>]</w:t>
      </w:r>
      <w:r>
        <w:t>)用于学习拥塞期间的流量模式，并在相似的流量模式重新出现时应用最合适的天线模式。与以往的工作不同，该方案不需要每次计算最优模式，大大降低了计算复杂度。此外，CBR还提供了拥塞预测的能力。对不同流量场景下的系统性能进行了仿真，并给出了仿真结果。文献[</w:t>
      </w:r>
      <w:r>
        <w:fldChar w:fldCharType="begin"/>
      </w:r>
      <w:r>
        <w:instrText xml:space="preserve"> REF BIB_zang2015wavelet \h \* MERGEFORMAT </w:instrText>
      </w:r>
      <w:r>
        <w:fldChar w:fldCharType="separate"/>
      </w:r>
      <w:r>
        <w:t>14</w:t>
      </w:r>
      <w:r>
        <w:fldChar w:fldCharType="end"/>
      </w:r>
      <w:r>
        <w:t>]将k均值聚类、Elman神经网络</w:t>
      </w:r>
      <w:r>
        <w:rPr>
          <w:vertAlign w:val="superscript"/>
        </w:rPr>
        <w:t>[</w:t>
      </w:r>
      <w:r>
        <w:rPr>
          <w:vertAlign w:val="superscript"/>
        </w:rPr>
        <w:fldChar w:fldCharType="begin"/>
      </w:r>
      <w:r>
        <w:rPr>
          <w:vertAlign w:val="superscript"/>
        </w:rPr>
        <w:instrText xml:space="preserve"> REF BIB_elman1990finding \h \* MERGEFORMAT </w:instrText>
      </w:r>
      <w:r>
        <w:rPr>
          <w:vertAlign w:val="superscript"/>
        </w:rPr>
        <w:fldChar w:fldCharType="separate"/>
      </w:r>
      <w:r>
        <w:rPr>
          <w:vertAlign w:val="superscript"/>
        </w:rPr>
        <w:t>15</w:t>
      </w:r>
      <w:r>
        <w:rPr>
          <w:vertAlign w:val="superscript"/>
        </w:rPr>
        <w:fldChar w:fldCharType="end"/>
      </w:r>
      <w:r>
        <w:rPr>
          <w:vertAlign w:val="superscript"/>
        </w:rPr>
        <w:t>]</w:t>
      </w:r>
      <w:r>
        <w:t>和小波分解方法</w:t>
      </w:r>
      <w:r>
        <w:rPr>
          <w:vertAlign w:val="superscript"/>
        </w:rPr>
        <w:t>[</w:t>
      </w:r>
      <w:r>
        <w:rPr>
          <w:vertAlign w:val="superscript"/>
        </w:rPr>
        <w:fldChar w:fldCharType="begin"/>
      </w:r>
      <w:r>
        <w:rPr>
          <w:vertAlign w:val="superscript"/>
        </w:rPr>
        <w:instrText xml:space="preserve"> REF BIB_chui2016introduction \h \* MERGEFORMAT </w:instrText>
      </w:r>
      <w:r>
        <w:rPr>
          <w:vertAlign w:val="superscript"/>
        </w:rPr>
        <w:fldChar w:fldCharType="separate"/>
      </w:r>
      <w:r>
        <w:rPr>
          <w:vertAlign w:val="superscript"/>
        </w:rPr>
        <w:t>16</w:t>
      </w:r>
      <w:r>
        <w:rPr>
          <w:vertAlign w:val="superscript"/>
        </w:rPr>
        <w:fldChar w:fldCharType="end"/>
      </w:r>
      <w:r>
        <w:rPr>
          <w:vertAlign w:val="superscript"/>
        </w:rPr>
        <w:t>]</w:t>
      </w:r>
      <w:r>
        <w:t>相结合，对流量预测的性能进行了比较。其他的工作则利用序列本身的特点，采用聚类的方法进行预测。文献[</w:t>
      </w:r>
      <w:r>
        <w:fldChar w:fldCharType="begin"/>
      </w:r>
      <w:r>
        <w:instrText xml:space="preserve"> REF BIB_verenich2016complex \h \* MERGEFORMAT </w:instrText>
      </w:r>
      <w:r>
        <w:fldChar w:fldCharType="separate"/>
      </w:r>
      <w:r>
        <w:t>17</w:t>
      </w:r>
      <w:r>
        <w:fldChar w:fldCharType="end"/>
      </w:r>
      <w:r>
        <w:t>]采用聚类算法对序列的前半部分进行聚类，最后在各自类别中分类，预测时间序列的后半部分。文献[</w:t>
      </w:r>
      <w:r>
        <w:fldChar w:fldCharType="begin"/>
      </w:r>
      <w:r>
        <w:instrText xml:space="preserve"> REF BIB_miao2016msfs \h \* MERGEFORMAT </w:instrText>
      </w:r>
      <w:r>
        <w:fldChar w:fldCharType="separate"/>
      </w:r>
      <w:r>
        <w:t>18</w:t>
      </w:r>
      <w:r>
        <w:fldChar w:fldCharType="end"/>
      </w:r>
      <w:r>
        <w:t>]利用时空层次结构，对时间序列进行聚合，提出了一种多尺度预测系统(MSFS)来预测不同粒度的时间序列。</w:t>
      </w:r>
      <w:r>
        <w:rPr>
          <w:rFonts w:hint="eastAsia"/>
        </w:rPr>
        <w:t>文献</w:t>
      </w:r>
      <w:r>
        <w:t>[</w:t>
      </w:r>
      <w:r>
        <w:fldChar w:fldCharType="begin"/>
      </w:r>
      <w:r>
        <w:instrText xml:space="preserve"> REF BIB_xu2016big \h \* MERGEFORMAT </w:instrText>
      </w:r>
      <w:r>
        <w:fldChar w:fldCharType="separate"/>
      </w:r>
      <w:r>
        <w:t>19</w:t>
      </w:r>
      <w:r>
        <w:fldChar w:fldCharType="end"/>
      </w:r>
      <w:r>
        <w:t>]利用时间序列预测来预测基于规则成分的流量模式。研究验证了利用时间序列分解方法进行预测的有效性，并展示了规律性和随机性分量的地理分布。此外，还揭示了规则分量的高可预测性是可以实现的，并证明了对流量数据的随机性分量的预测是不可能的。</w:t>
      </w:r>
    </w:p>
    <w:p>
      <w:pPr>
        <w:pStyle w:val="37"/>
      </w:pPr>
      <w:bookmarkStart w:id="41" w:name="_Toc7857990"/>
      <w:r>
        <w:rPr>
          <w:rFonts w:hint="eastAsia"/>
        </w:rPr>
        <w:t>1.2.2  研究难点及挑战</w:t>
      </w:r>
      <w:bookmarkEnd w:id="41"/>
    </w:p>
    <w:p>
      <w:pPr>
        <w:ind w:firstLine="480"/>
      </w:pPr>
      <w:r>
        <w:rPr>
          <w:rFonts w:hint="eastAsia"/>
        </w:rPr>
        <w:t>下面简述我们</w:t>
      </w:r>
      <w:r>
        <w:t>在基站流量模式挖掘和应用研究</w:t>
      </w:r>
      <w:r>
        <w:rPr>
          <w:rFonts w:hint="eastAsia"/>
        </w:rPr>
        <w:t>的过程中遇到的</w:t>
      </w:r>
      <w:r>
        <w:t>难点和挑战：</w:t>
      </w:r>
    </w:p>
    <w:p>
      <w:pPr>
        <w:ind w:firstLine="480"/>
      </w:pPr>
      <w:r>
        <w:t>(</w:t>
      </w:r>
      <w:r>
        <w:rPr>
          <w:rFonts w:hint="eastAsia"/>
        </w:rPr>
        <w:t>1</w:t>
      </w:r>
      <w:r>
        <w:t>) 数据时序点较少（7110个基站，每个基站有5个非连续月度流量汇总数值，即短时间序列）</w:t>
      </w:r>
      <w:r>
        <w:rPr>
          <w:rFonts w:hint="eastAsia"/>
        </w:rPr>
        <w:t>。这将</w:t>
      </w:r>
      <w:r>
        <w:t>导致适用于长时间序列的分析方法不能借鉴使用，比如循环神网络</w:t>
      </w:r>
      <w:bookmarkStart w:id="42" w:name="OLE_LINK29"/>
      <w:bookmarkStart w:id="43" w:name="OLE_LINK30"/>
      <w:r>
        <w:t>LSTM</w:t>
      </w:r>
      <w:bookmarkEnd w:id="42"/>
      <w:bookmarkEnd w:id="43"/>
      <w:r>
        <w:rPr>
          <w:vertAlign w:val="superscript"/>
        </w:rPr>
        <w:t>[</w:t>
      </w:r>
      <w:r>
        <w:rPr>
          <w:vertAlign w:val="superscript"/>
        </w:rPr>
        <w:fldChar w:fldCharType="begin"/>
      </w:r>
      <w:r>
        <w:rPr>
          <w:vertAlign w:val="superscript"/>
        </w:rPr>
        <w:instrText xml:space="preserve"> REF BIB_greff2017lstm \h \* MERGEFORMAT </w:instrText>
      </w:r>
      <w:r>
        <w:rPr>
          <w:vertAlign w:val="superscript"/>
        </w:rPr>
        <w:fldChar w:fldCharType="separate"/>
      </w:r>
      <w:r>
        <w:rPr>
          <w:vertAlign w:val="superscript"/>
        </w:rPr>
        <w:t>20</w:t>
      </w:r>
      <w:r>
        <w:rPr>
          <w:vertAlign w:val="superscript"/>
        </w:rPr>
        <w:fldChar w:fldCharType="end"/>
      </w:r>
      <w:r>
        <w:rPr>
          <w:vertAlign w:val="superscript"/>
        </w:rPr>
        <w:t>]</w:t>
      </w:r>
      <w:r>
        <w:t>，</w:t>
      </w:r>
      <w:bookmarkStart w:id="44" w:name="OLE_LINK31"/>
      <w:r>
        <w:t>RNN</w:t>
      </w:r>
      <w:bookmarkEnd w:id="44"/>
      <w:r>
        <w:rPr>
          <w:vertAlign w:val="superscript"/>
        </w:rPr>
        <w:t>[</w:t>
      </w:r>
      <w:r>
        <w:rPr>
          <w:vertAlign w:val="superscript"/>
        </w:rPr>
        <w:fldChar w:fldCharType="begin"/>
      </w:r>
      <w:r>
        <w:rPr>
          <w:vertAlign w:val="superscript"/>
        </w:rPr>
        <w:instrText xml:space="preserve"> REF BIB_jozefowicz2016exploring \h \* MERGEFORMAT </w:instrText>
      </w:r>
      <w:r>
        <w:rPr>
          <w:vertAlign w:val="superscript"/>
        </w:rPr>
        <w:fldChar w:fldCharType="separate"/>
      </w:r>
      <w:r>
        <w:rPr>
          <w:vertAlign w:val="superscript"/>
        </w:rPr>
        <w:t>21</w:t>
      </w:r>
      <w:r>
        <w:rPr>
          <w:vertAlign w:val="superscript"/>
        </w:rPr>
        <w:fldChar w:fldCharType="end"/>
      </w:r>
      <w:r>
        <w:rPr>
          <w:vertAlign w:val="superscript"/>
        </w:rPr>
        <w:t>]</w:t>
      </w:r>
      <w:r>
        <w:t>、时序分解模型</w:t>
      </w:r>
      <w:bookmarkStart w:id="45" w:name="OLE_LINK47"/>
      <w:bookmarkStart w:id="46" w:name="OLE_LINK46"/>
      <w:r>
        <w:t>STL</w:t>
      </w:r>
      <w:bookmarkEnd w:id="45"/>
      <w:bookmarkEnd w:id="46"/>
      <w:r>
        <w:rPr>
          <w:vertAlign w:val="superscript"/>
        </w:rPr>
        <w:t>[</w:t>
      </w:r>
      <w:r>
        <w:rPr>
          <w:vertAlign w:val="superscript"/>
        </w:rPr>
        <w:fldChar w:fldCharType="begin"/>
      </w:r>
      <w:r>
        <w:rPr>
          <w:vertAlign w:val="superscript"/>
        </w:rPr>
        <w:instrText xml:space="preserve"> REF BIB_cleveland1990stl \h \* MERGEFORMAT </w:instrText>
      </w:r>
      <w:r>
        <w:rPr>
          <w:vertAlign w:val="superscript"/>
        </w:rPr>
        <w:fldChar w:fldCharType="separate"/>
      </w:r>
      <w:r>
        <w:rPr>
          <w:vertAlign w:val="superscript"/>
        </w:rPr>
        <w:t>22</w:t>
      </w:r>
      <w:r>
        <w:rPr>
          <w:vertAlign w:val="superscript"/>
        </w:rPr>
        <w:fldChar w:fldCharType="end"/>
      </w:r>
      <w:r>
        <w:rPr>
          <w:vertAlign w:val="superscript"/>
        </w:rPr>
        <w:t>]</w:t>
      </w:r>
      <w:r>
        <w:t>，它们都需要很长的历史时序点作为数据支撑。在此条件下，能否找到一种方法很好描述短时间序列的特点，同时反映基站网络流量特点的表征方法是模式挖掘的一大难点。</w:t>
      </w:r>
    </w:p>
    <w:p>
      <w:pPr>
        <w:ind w:firstLine="480"/>
      </w:pPr>
      <w:r>
        <w:t>(</w:t>
      </w:r>
      <w:r>
        <w:rPr>
          <w:rFonts w:hint="eastAsia"/>
        </w:rPr>
        <w:t>2</w:t>
      </w:r>
      <w:r>
        <w:t>) 传统的聚类算法往往通过计算类内距离作为样本划分成各种类型的标准，但这种聚类方法在对基站变化的一致性方面有所不足。例如：有两个基站的变化情况是：“涨—涨—跌”，“涨—跌—涨”，它们可能仅仅因为内类距离较小而划分成一组。但在运营商的角度，他们更希望发现的是在“双11”电商节、“春节”是基站涨跌一致的基站群落，这样运营商能够在流量一致性变化时做好应对措施。</w:t>
      </w:r>
    </w:p>
    <w:p>
      <w:pPr>
        <w:ind w:firstLine="480"/>
      </w:pPr>
      <w:r>
        <w:t>(</w:t>
      </w:r>
      <w:r>
        <w:rPr>
          <w:rFonts w:hint="eastAsia"/>
        </w:rPr>
        <w:t>3</w:t>
      </w:r>
      <w:r>
        <w:t>) 基站位置所处的宫格名称是其特有的属性即地理语义信息理语义，在以往的基站数据分析中鲜有研究，我们首次将</w:t>
      </w:r>
      <w:bookmarkStart w:id="47" w:name="OLE_LINK40"/>
      <w:bookmarkStart w:id="48" w:name="OLE_LINK39"/>
      <w:r>
        <w:t>NLP</w:t>
      </w:r>
      <w:bookmarkEnd w:id="47"/>
      <w:bookmarkEnd w:id="48"/>
      <w:r>
        <w:t>语言模型分析方法引入基站模式挖掘中。在我们处理这样的语义信息中，我们发现有如下其有如下特点：第一，宫格名称通常较短，一般可以拆分成两个或者三个较短的地理位置单词（比如：“某市某小区物业处”短句可以通过分词工具拆分成“某市”、“某小区”、“物业处”三个词语）；第二，各个宫格名称极少有重复存在，这是因为一个地点往往只会建立一个基站，同时地理名称存在的意义就是区分不同的地点，避免重复。这导致我们在对宫格名称分词、汇总后进行大量的后续处理，保证其单词语义的有效性。最后，我们如何利用单词的嵌入式表达（</w:t>
      </w:r>
      <w:bookmarkStart w:id="49" w:name="OLE_LINK48"/>
      <w:bookmarkStart w:id="50" w:name="OLE_LINK49"/>
      <w:r>
        <w:t>Embedding</w:t>
      </w:r>
      <w:bookmarkEnd w:id="49"/>
      <w:bookmarkEnd w:id="50"/>
      <w:r>
        <w:rPr>
          <w:vertAlign w:val="superscript"/>
        </w:rPr>
        <w:t>[</w:t>
      </w:r>
      <w:r>
        <w:rPr>
          <w:vertAlign w:val="superscript"/>
        </w:rPr>
        <w:fldChar w:fldCharType="begin"/>
      </w:r>
      <w:r>
        <w:rPr>
          <w:vertAlign w:val="superscript"/>
        </w:rPr>
        <w:instrText xml:space="preserve"> REF BIB_adamek2004abstract \h \* MERGEFORMAT </w:instrText>
      </w:r>
      <w:r>
        <w:rPr>
          <w:vertAlign w:val="superscript"/>
        </w:rPr>
        <w:fldChar w:fldCharType="separate"/>
      </w:r>
      <w:r>
        <w:rPr>
          <w:vertAlign w:val="superscript"/>
        </w:rPr>
        <w:t>23</w:t>
      </w:r>
      <w:r>
        <w:rPr>
          <w:vertAlign w:val="superscript"/>
        </w:rPr>
        <w:fldChar w:fldCharType="end"/>
      </w:r>
      <w:r>
        <w:rPr>
          <w:vertAlign w:val="superscript"/>
        </w:rPr>
        <w:t>]</w:t>
      </w:r>
      <w:r>
        <w:t>）作为该基站的向量表征，也是需要面对的问题。例如：如何获取宫格名称为“某市某大学图书馆”的基站的词向量表征。首先如何经过统计计算得得到“某市”、“某大学”、“图书馆”的单词向量？之后向量之间如何进行操作能够获得完整“某市某大学图书馆”的基站的词向量表征都是需要研究和考虑的。</w:t>
      </w:r>
    </w:p>
    <w:p>
      <w:pPr>
        <w:ind w:firstLine="480"/>
      </w:pPr>
      <w:r>
        <w:t>(</w:t>
      </w:r>
      <w:r>
        <w:rPr>
          <w:rFonts w:hint="eastAsia"/>
        </w:rPr>
        <w:t>4</w:t>
      </w:r>
      <w:r>
        <w:t>) 对新建基站来说，能否利用少量仅有的初始信息（例如经纬度、宫格名称）以及如何利用这些初始信息去预测基站流量模式是存在的另一大难题。基站流量模式的预测在前文研究现状中表示，对领域的研究尚少，其主要原因是基站流量模式与基站地理位置分布、社会因素（人口移动，节假日）高度相关，造成其模式分布及其复杂，同时我们不是对已有的基站的流量模式进行预测，而是对新建基站的流量模式进行预测（新建基站的特点是可用特征较少）。所以在模式预测之前需要我们对模式的空间分布进行分析，处理好少量可用的特征。这些工作的完成也是我们分析研究过程中的难点。</w:t>
      </w:r>
      <w:bookmarkStart w:id="51" w:name="_Toc503120197"/>
      <w:bookmarkStart w:id="52" w:name="_Toc6320046"/>
      <w:bookmarkStart w:id="53" w:name="_Toc503296620"/>
      <w:bookmarkStart w:id="54" w:name="_Toc507493685"/>
    </w:p>
    <w:bookmarkEnd w:id="51"/>
    <w:bookmarkEnd w:id="52"/>
    <w:bookmarkEnd w:id="53"/>
    <w:bookmarkEnd w:id="54"/>
    <w:p>
      <w:pPr>
        <w:pStyle w:val="40"/>
      </w:pPr>
      <w:bookmarkStart w:id="55" w:name="_Toc6581138"/>
      <w:bookmarkStart w:id="56" w:name="_Toc7857991"/>
      <w:r>
        <w:rPr>
          <w:rFonts w:hint="eastAsia"/>
        </w:rPr>
        <w:t>1.3  本论文的主要贡献</w:t>
      </w:r>
      <w:bookmarkEnd w:id="55"/>
      <w:bookmarkEnd w:id="56"/>
    </w:p>
    <w:p>
      <w:pPr>
        <w:ind w:firstLine="480"/>
      </w:pPr>
      <w:r>
        <w:t>本文基于一个中国大型</w:t>
      </w:r>
      <w:r>
        <w:rPr>
          <w:rFonts w:hint="eastAsia"/>
        </w:rPr>
        <w:t>无线网络运营商在一个大型</w:t>
      </w:r>
      <w:r>
        <w:t>城市</w:t>
      </w:r>
      <w:r>
        <w:rPr>
          <w:rFonts w:hint="eastAsia"/>
        </w:rPr>
        <w:t>的基站网络的流量测量数据，对</w:t>
      </w:r>
      <w:r>
        <w:t>超过7千个基站、以月度为单位、持续一年的基站</w:t>
      </w:r>
      <w:r>
        <w:rPr>
          <w:rFonts w:hint="eastAsia"/>
        </w:rPr>
        <w:t>流量的静态和动态特征</w:t>
      </w:r>
      <w:r>
        <w:t>进行了观察与测量，</w:t>
      </w:r>
      <w:r>
        <w:rPr>
          <w:rFonts w:hint="eastAsia"/>
        </w:rPr>
        <w:t>并</w:t>
      </w:r>
      <w:r>
        <w:t>对基站流量的时间变化模式进行</w:t>
      </w:r>
      <w:r>
        <w:rPr>
          <w:rFonts w:hint="eastAsia"/>
        </w:rPr>
        <w:t>了</w:t>
      </w:r>
      <w:r>
        <w:t>聚类、分析和预测。本文贡献如下：</w:t>
      </w:r>
    </w:p>
    <w:p>
      <w:pPr>
        <w:ind w:firstLine="480"/>
      </w:pPr>
      <w:r>
        <w:t>(</w:t>
      </w:r>
      <w:r>
        <w:rPr>
          <w:rFonts w:hint="eastAsia"/>
        </w:rPr>
        <w:t>1</w:t>
      </w:r>
      <w:r>
        <w:t xml:space="preserve">) </w:t>
      </w:r>
      <w:r>
        <w:rPr>
          <w:rFonts w:hint="eastAsia"/>
        </w:rPr>
        <w:t>统计分析了该城市基站流量数据的时空分布。在空间上，我们发现</w:t>
      </w:r>
      <w:r>
        <w:t>全市范围基站流量和流量密度分布不均衡，</w:t>
      </w:r>
      <w:r>
        <w:rPr>
          <w:rFonts w:hint="eastAsia"/>
        </w:rPr>
        <w:t>市中心和非市中心流量差异明显；在时间上，我们总结了</w:t>
      </w:r>
      <w:r>
        <w:t>基站流量</w:t>
      </w:r>
      <w:r>
        <w:rPr>
          <w:rFonts w:hint="eastAsia"/>
        </w:rPr>
        <w:t>总体</w:t>
      </w:r>
      <w:r>
        <w:t>增长模式</w:t>
      </w:r>
      <w:r>
        <w:rPr>
          <w:rFonts w:hint="eastAsia"/>
        </w:rPr>
        <w:t>的</w:t>
      </w:r>
      <w:r>
        <w:t>特点是</w:t>
      </w:r>
      <w:r>
        <w:rPr>
          <w:rFonts w:hint="eastAsia"/>
        </w:rPr>
        <w:t>：</w:t>
      </w:r>
      <w:r>
        <w:t>基站流量总体呈上升趋势，</w:t>
      </w:r>
      <w:r>
        <w:rPr>
          <w:rFonts w:hint="eastAsia"/>
        </w:rPr>
        <w:t>各基站</w:t>
      </w:r>
      <w:r>
        <w:t>在关键</w:t>
      </w:r>
      <w:r>
        <w:rPr>
          <w:rFonts w:hint="eastAsia"/>
        </w:rPr>
        <w:t>时间节点（1</w:t>
      </w:r>
      <w:r>
        <w:t>1</w:t>
      </w:r>
      <w:r>
        <w:rPr>
          <w:rFonts w:hint="eastAsia"/>
        </w:rPr>
        <w:t>月、次年2月）的变化有所不同。现象促使我们进基站流量模式挖掘。</w:t>
      </w:r>
    </w:p>
    <w:p>
      <w:pPr>
        <w:ind w:firstLine="480"/>
        <w:rPr>
          <w:color w:val="000000"/>
          <w:szCs w:val="21"/>
        </w:rPr>
      </w:pPr>
      <w:r>
        <w:rPr>
          <w:rFonts w:hint="eastAsia"/>
          <w:color w:val="000000"/>
          <w:szCs w:val="21"/>
        </w:rPr>
        <w:t>(</w:t>
      </w:r>
      <w:r>
        <w:rPr>
          <w:color w:val="000000"/>
          <w:szCs w:val="21"/>
        </w:rPr>
        <w:t xml:space="preserve">2) </w:t>
      </w:r>
      <w:r>
        <w:rPr>
          <w:rFonts w:hint="eastAsia"/>
          <w:color w:val="000000"/>
          <w:szCs w:val="21"/>
        </w:rPr>
        <w:t>提出</w:t>
      </w:r>
      <w:r>
        <w:rPr>
          <w:color w:val="000000"/>
          <w:szCs w:val="21"/>
        </w:rPr>
        <w:t>了一种新的</w:t>
      </w:r>
      <w:r>
        <w:rPr>
          <w:rFonts w:hint="eastAsia"/>
          <w:color w:val="000000"/>
          <w:szCs w:val="21"/>
        </w:rPr>
        <w:t>基站流</w:t>
      </w:r>
      <w:r>
        <w:rPr>
          <w:color w:val="000000"/>
          <w:szCs w:val="21"/>
        </w:rPr>
        <w:t>量</w:t>
      </w:r>
      <w:r>
        <w:rPr>
          <w:rFonts w:hint="eastAsia"/>
          <w:color w:val="000000"/>
          <w:szCs w:val="21"/>
        </w:rPr>
        <w:t>演变</w:t>
      </w:r>
      <w:r>
        <w:rPr>
          <w:color w:val="000000"/>
          <w:szCs w:val="21"/>
        </w:rPr>
        <w:t>模式</w:t>
      </w:r>
      <w:r>
        <w:rPr>
          <w:rFonts w:hint="eastAsia"/>
          <w:color w:val="000000"/>
          <w:szCs w:val="21"/>
        </w:rPr>
        <w:t>的聚类方法。该方法</w:t>
      </w:r>
      <w:r>
        <w:rPr>
          <w:color w:val="000000"/>
          <w:szCs w:val="21"/>
        </w:rPr>
        <w:t>基于</w:t>
      </w:r>
      <w:r>
        <w:rPr>
          <w:rFonts w:hint="eastAsia"/>
          <w:color w:val="000000"/>
          <w:szCs w:val="21"/>
        </w:rPr>
        <w:t>基站</w:t>
      </w:r>
      <w:r>
        <w:rPr>
          <w:color w:val="000000"/>
          <w:szCs w:val="21"/>
        </w:rPr>
        <w:t>月度总流量值在一年内</w:t>
      </w:r>
      <w:r>
        <w:rPr>
          <w:rFonts w:hint="eastAsia"/>
          <w:color w:val="000000"/>
          <w:szCs w:val="21"/>
        </w:rPr>
        <w:t>的</w:t>
      </w:r>
      <w:r>
        <w:rPr>
          <w:color w:val="000000"/>
          <w:szCs w:val="21"/>
        </w:rPr>
        <w:t>排序</w:t>
      </w:r>
      <w:r>
        <w:rPr>
          <w:rFonts w:hint="eastAsia"/>
          <w:color w:val="000000"/>
          <w:szCs w:val="21"/>
        </w:rPr>
        <w:t>序列进行</w:t>
      </w:r>
      <w:r>
        <w:rPr>
          <w:color w:val="000000"/>
          <w:szCs w:val="21"/>
        </w:rPr>
        <w:t>聚类</w:t>
      </w:r>
      <w:r>
        <w:rPr>
          <w:rFonts w:hint="eastAsia"/>
          <w:color w:val="000000"/>
          <w:szCs w:val="21"/>
        </w:rPr>
        <w:t>。在我们数据集上的分析结果表明：该</w:t>
      </w:r>
      <w:r>
        <w:rPr>
          <w:color w:val="000000"/>
          <w:szCs w:val="21"/>
        </w:rPr>
        <w:t>聚类方式</w:t>
      </w:r>
      <w:r>
        <w:rPr>
          <w:rFonts w:hint="eastAsia"/>
          <w:color w:val="000000"/>
          <w:szCs w:val="21"/>
        </w:rPr>
        <w:t>对</w:t>
      </w:r>
      <w:r>
        <w:rPr>
          <w:color w:val="000000"/>
          <w:szCs w:val="21"/>
        </w:rPr>
        <w:t>较短时间序列（不存在周期性）的</w:t>
      </w:r>
      <w:r>
        <w:rPr>
          <w:rFonts w:hint="eastAsia"/>
          <w:color w:val="000000"/>
          <w:szCs w:val="21"/>
        </w:rPr>
        <w:t>涨跌特点</w:t>
      </w:r>
      <w:r>
        <w:rPr>
          <w:color w:val="000000"/>
          <w:szCs w:val="21"/>
        </w:rPr>
        <w:t>有很好的描述</w:t>
      </w:r>
      <w:r>
        <w:rPr>
          <w:rFonts w:hint="eastAsia"/>
          <w:color w:val="000000"/>
          <w:szCs w:val="21"/>
        </w:rPr>
        <w:t>，能够得到比传统聚类方法更容易理解的结果。</w:t>
      </w:r>
    </w:p>
    <w:p>
      <w:pPr>
        <w:ind w:firstLine="480"/>
      </w:pPr>
      <w:r>
        <w:t xml:space="preserve">(3) </w:t>
      </w:r>
      <w:r>
        <w:rPr>
          <w:rFonts w:hint="eastAsia"/>
          <w:color w:val="000000"/>
          <w:szCs w:val="21"/>
        </w:rPr>
        <w:t>基于提出的聚类方法，我们对运营商的7千多个基站的流量演变模式进行了大规模聚类分析，获得了</w:t>
      </w:r>
      <w:r>
        <w:rPr>
          <w:color w:val="000000"/>
          <w:szCs w:val="21"/>
        </w:rPr>
        <w:t>6种</w:t>
      </w:r>
      <w:r>
        <w:rPr>
          <w:rFonts w:hint="eastAsia"/>
          <w:color w:val="000000"/>
          <w:szCs w:val="21"/>
        </w:rPr>
        <w:t>典型的基站</w:t>
      </w:r>
      <w:r>
        <w:rPr>
          <w:color w:val="000000"/>
          <w:szCs w:val="21"/>
        </w:rPr>
        <w:t>流量</w:t>
      </w:r>
      <w:r>
        <w:rPr>
          <w:rFonts w:hint="eastAsia"/>
          <w:color w:val="000000"/>
          <w:szCs w:val="21"/>
        </w:rPr>
        <w:t>演变</w:t>
      </w:r>
      <w:r>
        <w:rPr>
          <w:color w:val="000000"/>
          <w:szCs w:val="21"/>
        </w:rPr>
        <w:t>模式，最</w:t>
      </w:r>
      <w:r>
        <w:rPr>
          <w:rFonts w:hint="eastAsia"/>
          <w:color w:val="000000"/>
          <w:szCs w:val="21"/>
        </w:rPr>
        <w:t>主要</w:t>
      </w:r>
      <w:r>
        <w:rPr>
          <w:color w:val="000000"/>
          <w:szCs w:val="21"/>
        </w:rPr>
        <w:t>的</w:t>
      </w:r>
      <w:r>
        <w:rPr>
          <w:rFonts w:hint="eastAsia"/>
          <w:color w:val="000000"/>
          <w:szCs w:val="21"/>
        </w:rPr>
        <w:t>一种</w:t>
      </w:r>
      <w:r>
        <w:rPr>
          <w:color w:val="000000"/>
          <w:szCs w:val="21"/>
        </w:rPr>
        <w:t>流量模式</w:t>
      </w:r>
      <w:r>
        <w:rPr>
          <w:rFonts w:hint="eastAsia"/>
          <w:color w:val="000000"/>
          <w:szCs w:val="21"/>
        </w:rPr>
        <w:t>涵盖了</w:t>
      </w:r>
      <w:r>
        <w:rPr>
          <w:color w:val="000000"/>
          <w:szCs w:val="21"/>
        </w:rPr>
        <w:t>38.6%</w:t>
      </w:r>
      <w:r>
        <w:rPr>
          <w:rFonts w:hint="eastAsia"/>
          <w:color w:val="000000"/>
          <w:szCs w:val="21"/>
        </w:rPr>
        <w:t>的基站，特点为总体流量呈上升趋势，期间11月份流量由高峰直转为次年2月的流量低谷。其它还包括：</w:t>
      </w:r>
      <w:r>
        <w:rPr>
          <w:color w:val="000000"/>
          <w:szCs w:val="21"/>
        </w:rPr>
        <w:t>“春节返乡”</w:t>
      </w:r>
      <w:r>
        <w:rPr>
          <w:rFonts w:hint="eastAsia"/>
          <w:color w:val="000000"/>
          <w:szCs w:val="21"/>
        </w:rPr>
        <w:t>、</w:t>
      </w:r>
      <w:r>
        <w:rPr>
          <w:color w:val="000000"/>
          <w:szCs w:val="21"/>
        </w:rPr>
        <w:t xml:space="preserve"> “双11”电商购物</w:t>
      </w:r>
      <w:r>
        <w:rPr>
          <w:rFonts w:hint="eastAsia"/>
          <w:color w:val="000000"/>
          <w:szCs w:val="21"/>
        </w:rPr>
        <w:t>模式等</w:t>
      </w:r>
      <w:r>
        <w:rPr>
          <w:color w:val="000000"/>
          <w:szCs w:val="21"/>
        </w:rPr>
        <w:t>。</w:t>
      </w:r>
      <w:r>
        <w:rPr>
          <w:rFonts w:hint="eastAsia"/>
          <w:color w:val="000000"/>
          <w:szCs w:val="21"/>
        </w:rPr>
        <w:t>结合城市特点，我们对所有模式的特点与形成原因做出了解释，这些发现为运营商理解其基站的流量演变情况提供了有益的信息。</w:t>
      </w:r>
    </w:p>
    <w:p>
      <w:pPr>
        <w:ind w:firstLine="480"/>
      </w:pPr>
      <w:r>
        <w:t xml:space="preserve">(4) </w:t>
      </w:r>
      <w:r>
        <w:rPr>
          <w:rFonts w:hint="eastAsia"/>
        </w:rPr>
        <w:t>提出了一种基于地理位置和基站地址语义信息的基站模式预测方法，能够对一个</w:t>
      </w:r>
      <w:r>
        <w:t>新建基站</w:t>
      </w:r>
      <w:r>
        <w:rPr>
          <w:rFonts w:hint="eastAsia"/>
        </w:rPr>
        <w:t>的</w:t>
      </w:r>
      <w:r>
        <w:t>流量模式</w:t>
      </w:r>
      <w:r>
        <w:rPr>
          <w:rFonts w:hint="eastAsia"/>
        </w:rPr>
        <w:t>进行预测。因为应该新建基站的初</w:t>
      </w:r>
      <w:r>
        <w:t>始信息往往较少，</w:t>
      </w:r>
      <w:r>
        <w:rPr>
          <w:rFonts w:hint="eastAsia"/>
        </w:rPr>
        <w:t>因此</w:t>
      </w:r>
      <w:r>
        <w:t>我们创造性地将基站语义标签信息引入基站流量模式预测中，改进了基站流量模式预测的准确性。实验结果表明：基站词向量表征能够明显提升LR线性模型的性能，同时我们将两种特征组合送入模型中，性能都比单个特征有所提升，“经纬度+基站词向量表征（Average）”的特征组合在XGBoost</w:t>
      </w:r>
      <w:r>
        <w:rPr>
          <w:vertAlign w:val="superscript"/>
        </w:rPr>
        <w:t>[</w:t>
      </w:r>
      <w:r>
        <w:rPr>
          <w:vertAlign w:val="superscript"/>
        </w:rPr>
        <w:fldChar w:fldCharType="begin"/>
      </w:r>
      <w:r>
        <w:rPr>
          <w:vertAlign w:val="superscript"/>
        </w:rPr>
        <w:instrText xml:space="preserve"> REF BIB_chen2016xgboost \h \* MERGEFORMAT </w:instrText>
      </w:r>
      <w:r>
        <w:rPr>
          <w:vertAlign w:val="superscript"/>
        </w:rPr>
        <w:fldChar w:fldCharType="separate"/>
      </w:r>
      <w:r>
        <w:rPr>
          <w:vertAlign w:val="superscript"/>
        </w:rPr>
        <w:t>24</w:t>
      </w:r>
      <w:r>
        <w:rPr>
          <w:vertAlign w:val="superscript"/>
        </w:rPr>
        <w:fldChar w:fldCharType="end"/>
      </w:r>
      <w:r>
        <w:rPr>
          <w:vertAlign w:val="superscript"/>
        </w:rPr>
        <w:t>]</w:t>
      </w:r>
      <w:r>
        <w:t>上F1-score为35%比仅仅加入“经纬度”特征</w:t>
      </w:r>
      <w:r>
        <w:rPr>
          <w:rFonts w:hint="eastAsia"/>
        </w:rPr>
        <w:t>高出</w:t>
      </w:r>
      <w:r>
        <w:t>5%，</w:t>
      </w:r>
      <w:r>
        <w:rPr>
          <w:rFonts w:hint="eastAsia"/>
        </w:rPr>
        <w:t>提升</w:t>
      </w:r>
      <w:r>
        <w:t>(0.35-0.3)/0.3=16.6%；在LR上的F1-score为35%比仅仅加入“经纬度”特征</w:t>
      </w:r>
      <w:r>
        <w:rPr>
          <w:rFonts w:hint="eastAsia"/>
        </w:rPr>
        <w:t>高出20%，</w:t>
      </w:r>
      <w:r>
        <w:t>提升(0.35-0.15)/0.15=1</w:t>
      </w:r>
      <w:r>
        <w:rPr>
          <w:rFonts w:hint="eastAsia"/>
        </w:rPr>
        <w:t>33</w:t>
      </w:r>
      <w:r>
        <w:t>%</w:t>
      </w:r>
      <w:r>
        <w:rPr>
          <w:rFonts w:hint="eastAsia"/>
        </w:rPr>
        <w:t>，其中两种模式的预测准确度较高。</w:t>
      </w:r>
    </w:p>
    <w:p>
      <w:pPr>
        <w:pStyle w:val="40"/>
      </w:pPr>
      <w:bookmarkStart w:id="57" w:name="_Toc503120198"/>
      <w:bookmarkStart w:id="58" w:name="_Toc7857992"/>
      <w:bookmarkStart w:id="59" w:name="_Toc503296621"/>
      <w:bookmarkStart w:id="60" w:name="_Toc6581139"/>
      <w:bookmarkStart w:id="61" w:name="_Toc507493686"/>
      <w:r>
        <w:t>1.</w:t>
      </w:r>
      <w:r>
        <w:rPr>
          <w:rFonts w:hint="eastAsia"/>
        </w:rPr>
        <w:t>4</w:t>
      </w:r>
      <w:r>
        <w:t xml:space="preserve">  本论文的组织结构</w:t>
      </w:r>
      <w:bookmarkEnd w:id="57"/>
      <w:bookmarkEnd w:id="58"/>
      <w:bookmarkEnd w:id="59"/>
      <w:bookmarkEnd w:id="60"/>
      <w:bookmarkEnd w:id="61"/>
    </w:p>
    <w:p>
      <w:pPr>
        <w:ind w:firstLine="480"/>
      </w:pPr>
      <w:r>
        <w:t>本文的组织结构如下：</w:t>
      </w:r>
    </w:p>
    <w:p>
      <w:pPr>
        <w:ind w:firstLine="480"/>
      </w:pPr>
      <w:r>
        <w:t>第二章主要介绍本文所涉及的网络测量、模式挖掘等基本内容与基本概念，同时我们也介绍了本文中所用的机器学习模型与算法，并给出算法模型所使用的模型评价方法。最后我们频繁使用的开发工具做出了简单的介绍。</w:t>
      </w:r>
    </w:p>
    <w:p>
      <w:pPr>
        <w:ind w:firstLine="480"/>
      </w:pPr>
      <w:r>
        <w:t>第三章首先对所用数据集</w:t>
      </w:r>
      <w:r>
        <w:rPr>
          <w:rFonts w:hint="eastAsia"/>
        </w:rPr>
        <w:t>进行介绍，对</w:t>
      </w:r>
      <w:r>
        <w:t>所使用的预处理</w:t>
      </w:r>
      <w:r>
        <w:rPr>
          <w:rFonts w:hint="eastAsia"/>
        </w:rPr>
        <w:t>方法</w:t>
      </w:r>
      <w:r>
        <w:t>进行介绍</w:t>
      </w:r>
      <w:r>
        <w:rPr>
          <w:rFonts w:hint="eastAsia"/>
        </w:rPr>
        <w:t>。</w:t>
      </w:r>
      <w:r>
        <w:t>基于真实的大规模运营商基站数据，我们分别从两个范围（全市角度和市中心角度）分别观察测量了：分析了基站流量的空间分布情况、区块面积的分布情况、流量密度的分布，并通过可视化的方式显示。之后我们从时间角度分析了基站流量的增长模式，并针对其特点做出解释说明</w:t>
      </w:r>
      <w:r>
        <w:rPr>
          <w:rFonts w:hint="eastAsia"/>
        </w:rPr>
        <w:t>。</w:t>
      </w:r>
    </w:p>
    <w:p>
      <w:pPr>
        <w:ind w:firstLine="480"/>
      </w:pPr>
      <w:r>
        <w:t>第四章首先分析了基站流量的分布特点，明确了聚类所要关注的问题。之后介绍了Rank-Based聚类方法的内容，基于真实基站数据，我们多步骤地将众多基站聚类并发掘其中规律。针对每一类基站流量模式，我们根据该市的特点和中国的节日分析其形成的原因。最后我们将聚类结果与经典的聚类算法K-means[</w:t>
      </w:r>
      <w:r>
        <w:fldChar w:fldCharType="begin"/>
      </w:r>
      <w:r>
        <w:instrText xml:space="preserve"> REF BIB_kriegel2017black \h \* MERGEFORMAT </w:instrText>
      </w:r>
      <w:r>
        <w:fldChar w:fldCharType="separate"/>
      </w:r>
      <w:r>
        <w:t>25</w:t>
      </w:r>
      <w:r>
        <w:fldChar w:fldCharType="end"/>
      </w:r>
      <w:r>
        <w:t>]比对。</w:t>
      </w:r>
    </w:p>
    <w:p>
      <w:pPr>
        <w:ind w:firstLine="480"/>
      </w:pPr>
      <w:r>
        <w:t>第五章主要评估了作为基站流量模式的两类特征：经纬度和基站宫格名称。当需要预测新建基站的流量模式时，能够使用的信息往往很少，我们选取了两类典型的特征：地理位置特征（经纬度）、语义信息特征（宫格名称），并分析评估其作为预测基站流量模式特征的能力。我们首先可视化了六类流量模式的地理分区情况，得到了其空间分布特点。对语义信息特征，我们从宫格名称分词到词向量的获取，逐步建立了基站的词向量表征。我们将两个特征送入</w:t>
      </w:r>
      <w:bookmarkStart w:id="62" w:name="OLE_LINK32"/>
      <w:r>
        <w:t>XGBoost</w:t>
      </w:r>
      <w:bookmarkEnd w:id="62"/>
      <w:r>
        <w:t>、LR分类预测模型进行预测，并对结果做出分析。</w:t>
      </w:r>
    </w:p>
    <w:p>
      <w:pPr>
        <w:ind w:firstLine="480"/>
      </w:pPr>
      <w:r>
        <w:t>第六章讨论</w:t>
      </w:r>
      <w:r>
        <w:rPr>
          <w:rFonts w:hint="eastAsia"/>
        </w:rPr>
        <w:t>了</w:t>
      </w:r>
      <w:r>
        <w:t>基站流量模式的多方面应用。前文得到了六种基站流量模式，我们对各类型在时间上的特殊变化结合该市特点、国内节日等做出了解释，也分析了各模式的空间分布特点。基于所有观察和测量，我们将从应用角度分析基站流量模式特点，并给出其应用场景。</w:t>
      </w:r>
    </w:p>
    <w:p>
      <w:pPr>
        <w:pStyle w:val="41"/>
        <w:jc w:val="both"/>
        <w:sectPr>
          <w:headerReference r:id="rId15" w:type="default"/>
          <w:pgSz w:w="11907" w:h="16840"/>
          <w:pgMar w:top="1701" w:right="1418" w:bottom="1418" w:left="1418" w:header="907" w:footer="851" w:gutter="567"/>
          <w:paperSrc w:first="31096" w:other="31096"/>
          <w:pgNumType w:start="1"/>
          <w:cols w:space="720" w:num="1"/>
          <w:docGrid w:type="lines" w:linePitch="312" w:charSpace="0"/>
        </w:sectPr>
      </w:pPr>
    </w:p>
    <w:p>
      <w:pPr>
        <w:pStyle w:val="41"/>
      </w:pPr>
      <w:bookmarkStart w:id="63" w:name="_Toc7857993"/>
      <w:bookmarkStart w:id="64" w:name="_Toc6581140"/>
      <w:bookmarkStart w:id="65" w:name="_Toc385763154"/>
      <w:bookmarkStart w:id="66" w:name="_Toc385763096"/>
      <w:bookmarkStart w:id="67" w:name="_Toc385763024"/>
      <w:bookmarkStart w:id="68" w:name="_Toc385763056"/>
      <w:r>
        <w:t>2  技术背景</w:t>
      </w:r>
      <w:bookmarkEnd w:id="63"/>
      <w:bookmarkEnd w:id="64"/>
    </w:p>
    <w:p>
      <w:pPr>
        <w:ind w:firstLine="480"/>
      </w:pPr>
      <w:bookmarkStart w:id="69" w:name="_Toc503120200"/>
      <w:bookmarkStart w:id="70" w:name="_Toc507493688"/>
      <w:bookmarkStart w:id="71" w:name="_Toc503296623"/>
      <w:bookmarkStart w:id="72" w:name="_Toc6581141"/>
      <w:r>
        <w:t>本章介绍论文中</w:t>
      </w:r>
      <w:r>
        <w:rPr>
          <w:rFonts w:hint="eastAsia"/>
        </w:rPr>
        <w:t>所</w:t>
      </w:r>
      <w:r>
        <w:t>应用的</w:t>
      </w:r>
      <w:r>
        <w:rPr>
          <w:rFonts w:hint="eastAsia"/>
        </w:rPr>
        <w:t>模式挖掘</w:t>
      </w:r>
      <w:r>
        <w:t>和</w:t>
      </w:r>
      <w:r>
        <w:rPr>
          <w:rFonts w:hint="eastAsia"/>
        </w:rPr>
        <w:t>机器学习算法</w:t>
      </w:r>
      <w:r>
        <w:t>。首先</w:t>
      </w:r>
      <w:r>
        <w:rPr>
          <w:rFonts w:hint="eastAsia"/>
        </w:rPr>
        <w:t>介绍网络测量的基本概念以及目前的3个研究领域；</w:t>
      </w:r>
      <w:r>
        <w:t>然后介绍</w:t>
      </w:r>
      <w:r>
        <w:rPr>
          <w:rFonts w:hint="eastAsia"/>
        </w:rPr>
        <w:t>模式挖局的相关概念和特点；之后又对论文中所使用的几种机器学习模型的原理和特点进行了简要的介绍；我们介绍了模型性能评估的方法以及评价指标；最后</w:t>
      </w:r>
      <w:r>
        <w:t>介绍了</w:t>
      </w:r>
      <w:r>
        <w:rPr>
          <w:rFonts w:hint="eastAsia"/>
        </w:rPr>
        <w:t>开发过程中使用的科学计算库与</w:t>
      </w:r>
      <w:r>
        <w:t>开发平台。</w:t>
      </w:r>
    </w:p>
    <w:p>
      <w:pPr>
        <w:pStyle w:val="40"/>
        <w:rPr>
          <w:color w:val="333333"/>
          <w:shd w:val="clear" w:color="auto" w:fill="FFFFFF"/>
        </w:rPr>
      </w:pPr>
      <w:bookmarkStart w:id="73" w:name="_Toc7857994"/>
      <w:r>
        <w:t xml:space="preserve">2.1  </w:t>
      </w:r>
      <w:bookmarkEnd w:id="69"/>
      <w:bookmarkEnd w:id="70"/>
      <w:bookmarkEnd w:id="71"/>
      <w:bookmarkEnd w:id="72"/>
      <w:r>
        <w:rPr>
          <w:rFonts w:hint="eastAsia"/>
        </w:rPr>
        <w:t>网络测量</w:t>
      </w:r>
      <w:bookmarkEnd w:id="73"/>
    </w:p>
    <w:p>
      <w:pPr>
        <w:ind w:firstLine="480"/>
      </w:pPr>
      <w:r>
        <w:t>网络测量是对网络各要素的量化过程。在网络建设过程中网络测量是必不可少的一部分，同时也是其他网络应用的基础。目前网络测量与分析主要分为3个研究领域：</w:t>
      </w:r>
    </w:p>
    <w:p>
      <w:pPr>
        <w:ind w:firstLine="480"/>
      </w:pPr>
      <w:r>
        <w:t>(</w:t>
      </w:r>
      <w:r>
        <w:rPr>
          <w:rFonts w:hint="eastAsia"/>
        </w:rPr>
        <w:t>1</w:t>
      </w:r>
      <w:r>
        <w:t>) 网络参数测量：精准、定量地获取网络及其网络应用中的参数数据。通常网络测量的主要参数包括</w:t>
      </w:r>
      <w:bookmarkStart w:id="74" w:name="OLE_LINK51"/>
      <w:bookmarkStart w:id="75" w:name="OLE_LINK50"/>
      <w:r>
        <w:t>有：RTT</w:t>
      </w:r>
      <w:bookmarkEnd w:id="74"/>
      <w:bookmarkEnd w:id="75"/>
      <w:r>
        <w:rPr>
          <w:vertAlign w:val="superscript"/>
        </w:rPr>
        <w:t>[</w:t>
      </w:r>
      <w:r>
        <w:rPr>
          <w:vertAlign w:val="superscript"/>
        </w:rPr>
        <w:fldChar w:fldCharType="begin"/>
      </w:r>
      <w:r>
        <w:rPr>
          <w:vertAlign w:val="superscript"/>
        </w:rPr>
        <w:instrText xml:space="preserve"> REF BIB_atary2016efficient \h \* MERGEFORMAT </w:instrText>
      </w:r>
      <w:r>
        <w:rPr>
          <w:vertAlign w:val="superscript"/>
        </w:rPr>
        <w:fldChar w:fldCharType="separate"/>
      </w:r>
      <w:r>
        <w:rPr>
          <w:vertAlign w:val="superscript"/>
        </w:rPr>
        <w:t>26</w:t>
      </w:r>
      <w:r>
        <w:rPr>
          <w:vertAlign w:val="superscript"/>
        </w:rPr>
        <w:fldChar w:fldCharType="end"/>
      </w:r>
      <w:r>
        <w:rPr>
          <w:vertAlign w:val="superscript"/>
        </w:rPr>
        <w:t>]</w:t>
      </w:r>
      <w:r>
        <w:t>、带宽、时延、数据丢包率、网络流量、网络服务质量</w:t>
      </w:r>
      <w:bookmarkStart w:id="76" w:name="OLE_LINK53"/>
      <w:bookmarkStart w:id="77" w:name="OLE_LINK52"/>
      <w:r>
        <w:t>QoS</w:t>
      </w:r>
      <w:bookmarkEnd w:id="76"/>
      <w:bookmarkEnd w:id="77"/>
      <w:r>
        <w:rPr>
          <w:vertAlign w:val="superscript"/>
        </w:rPr>
        <w:t>[</w:t>
      </w:r>
      <w:r>
        <w:rPr>
          <w:vertAlign w:val="superscript"/>
        </w:rPr>
        <w:fldChar w:fldCharType="begin"/>
      </w:r>
      <w:r>
        <w:rPr>
          <w:vertAlign w:val="superscript"/>
        </w:rPr>
        <w:instrText xml:space="preserve"> REF BIB_roy2018quality \h \* MERGEFORMAT </w:instrText>
      </w:r>
      <w:r>
        <w:rPr>
          <w:vertAlign w:val="superscript"/>
        </w:rPr>
        <w:fldChar w:fldCharType="separate"/>
      </w:r>
      <w:r>
        <w:rPr>
          <w:vertAlign w:val="superscript"/>
        </w:rPr>
        <w:t>27</w:t>
      </w:r>
      <w:r>
        <w:rPr>
          <w:vertAlign w:val="superscript"/>
        </w:rPr>
        <w:fldChar w:fldCharType="end"/>
      </w:r>
      <w:r>
        <w:rPr>
          <w:vertAlign w:val="superscript"/>
        </w:rPr>
        <w:t>]</w:t>
      </w:r>
      <w:r>
        <w:t>等。网络参数测量一方面可以发现网络中存在的明显问题，例如某个参数突破阈值等，另一方面大量的网络参数也是后续网络模型化的基础。</w:t>
      </w:r>
    </w:p>
    <w:p>
      <w:pPr>
        <w:ind w:firstLine="480"/>
      </w:pPr>
      <w:r>
        <w:t>(</w:t>
      </w:r>
      <w:r>
        <w:rPr>
          <w:rFonts w:hint="eastAsia"/>
        </w:rPr>
        <w:t>2</w:t>
      </w:r>
      <w:r>
        <w:t>) 网络的模型化：这是网络测量关注的核心问题，即建立准确的网络描述与模拟。这种网络模型能够抽象出当前的网络特点，同时也能够预测网络将要发生的行为。建立网络模型现在有多种手段，包括：利用统计学知识建立数学模型、利用机器学习中的聚类算法提取网络模型等。</w:t>
      </w:r>
    </w:p>
    <w:p>
      <w:pPr>
        <w:ind w:firstLine="480"/>
      </w:pPr>
      <w:r>
        <w:t>(</w:t>
      </w:r>
      <w:r>
        <w:rPr>
          <w:rFonts w:hint="eastAsia"/>
        </w:rPr>
        <w:t>3</w:t>
      </w:r>
      <w:r>
        <w:t>) 网络控制：网络测量的应用部分，利用测量结果和网络模型中获取的信息，实现对网络资源的合理配置与使用。</w:t>
      </w:r>
    </w:p>
    <w:p>
      <w:pPr>
        <w:pStyle w:val="40"/>
      </w:pPr>
      <w:bookmarkStart w:id="78" w:name="_Toc7857995"/>
      <w:r>
        <w:t>2.</w:t>
      </w:r>
      <w:r>
        <w:rPr>
          <w:rFonts w:hint="eastAsia"/>
        </w:rPr>
        <w:t>2</w:t>
      </w:r>
      <w:r>
        <w:t xml:space="preserve">  模式挖掘</w:t>
      </w:r>
      <w:bookmarkEnd w:id="78"/>
    </w:p>
    <w:p>
      <w:pPr>
        <w:ind w:firstLine="480"/>
      </w:pPr>
      <w:r>
        <w:t>模式挖掘的概念是：从大量目标数据中提取典型行为的过程。模式挖掘是数据挖掘的子任务之一，同级的任务还有聚类分析、异常点检测、关联规则发现等，但它们都有相同的特点就是事先并不能确定最终的分析结果的某些特点。例如对某一领域数据进行模式挖掘，但是我们事先并不能知道最后提取出的模式的数量。所以模式挖掘是一个知识发现的过程，它结果与数据的处理与分析密切相关，其中包含的主要数据操作有：数据清理、数据集成、数据选择、数据转换、模式发现、模式评估等。</w:t>
      </w:r>
    </w:p>
    <w:p>
      <w:pPr>
        <w:ind w:firstLine="480"/>
      </w:pPr>
      <w:r>
        <w:t>模式挖掘中的两个重要概念分别是：支持度和置信度。支持度是对某事件的支持程度，置信度是对某事件的可信程度。支持度和置信度从它们的计算公式我们就可以发现它们的作用就是对模式中隐含规则的强度进行量化，例如无关、正相关、负相关这样的数值评价。支持度和置信度的计算公式如下：</w:t>
      </w:r>
    </w:p>
    <w:p>
      <w:pPr>
        <w:ind w:firstLine="480"/>
      </w:pPr>
      <w:r>
        <w:t>支持度的计算公式：</w:t>
      </w:r>
    </w:p>
    <w:p>
      <w:pPr>
        <w:ind w:firstLine="2400" w:firstLineChars="1000"/>
        <w:jc w:val="right"/>
      </w:pPr>
      <w:r>
        <w:t>support（A=&gt;B）= P（AUB）                      (2-1)</w:t>
      </w:r>
    </w:p>
    <w:p>
      <w:pPr>
        <w:ind w:firstLine="480"/>
      </w:pPr>
      <w:r>
        <w:t>置信度的计算公式：</w:t>
      </w:r>
    </w:p>
    <w:p>
      <w:pPr>
        <w:ind w:firstLine="960" w:firstLineChars="400"/>
        <w:jc w:val="right"/>
      </w:pPr>
      <w:r>
        <w:t>confidence（A=&gt;B）=P(B|A)= support(AUB)/support(A)            (2-2)</w:t>
      </w:r>
    </w:p>
    <w:p>
      <w:pPr>
        <w:ind w:firstLine="480"/>
      </w:pPr>
      <w:r>
        <w:t>模式挖掘主要研究、关注：模式类型、挖掘方法以及应用。模式挖掘目前主要挑战是在在海量数据中，发现的模式数量也十分巨大。为了解决该问题，我们可以对所提取的模式进行压缩、合并近似模式、求Top-K模式等</w:t>
      </w:r>
    </w:p>
    <w:p>
      <w:pPr>
        <w:pStyle w:val="40"/>
      </w:pPr>
      <w:bookmarkStart w:id="79" w:name="_Toc7857996"/>
      <w:r>
        <w:t>2.</w:t>
      </w:r>
      <w:r>
        <w:rPr>
          <w:rFonts w:hint="eastAsia"/>
        </w:rPr>
        <w:t>3</w:t>
      </w:r>
      <w:r>
        <w:t xml:space="preserve">  机器学习</w:t>
      </w:r>
      <w:bookmarkEnd w:id="79"/>
    </w:p>
    <w:p>
      <w:pPr>
        <w:ind w:firstLine="480"/>
      </w:pPr>
      <w:r>
        <w:t>机器学习是对算法和统计模型的科学研究，它的特点是计算机系统利用模式和推理而不是具体的计算机指令来执行特定任务。机器学习算法从“训练数据”中学习和构建关于样本数据的数学模型，在通过“测试数据”去执行任务中所需要的预测或决策。目前机器学习被广泛应用，例如机器翻译、人脸识别技术、无人驾驶技术等。机器学习目前主要有三种分类：监督学习、非监督学习和强化学习。下面我们简要这些类型的特点以及所包含的优缺点：</w:t>
      </w:r>
    </w:p>
    <w:p>
      <w:pPr>
        <w:ind w:firstLine="480"/>
      </w:pPr>
      <w:r>
        <w:t>(</w:t>
      </w:r>
      <w:r>
        <w:rPr>
          <w:rFonts w:hint="eastAsia"/>
        </w:rPr>
        <w:t>1</w:t>
      </w:r>
      <w:r>
        <w:t>) 监督学习的特点是：数据包含了标签信息。数据的“标签”可以被认为是人为或者客观的数据属性，例如对一群人的标签可以是：男或者女。监督学习有两种任务：分类和回归。在分类任务中：机器在训练集中通过对样本特征的分析与计算，并比对样本的标签信息，不断调整数学模型的参数使其能够有最好的分类效果。典型的分类应用是工厂中的产品分拣系统；在回归任务中：与分类任务不同的是，回归任务往往能够产生“新的结果”。分类任务通过学习后能够将测试数据划归到某个已知的类型中，但是回归任务能够产生新的数值结果。比如通过学习过去几天的天气信息，我们能够根据预测未来几天天气，而不是将未来几天分成各种类别。</w:t>
      </w:r>
    </w:p>
    <w:p>
      <w:pPr>
        <w:ind w:firstLine="480"/>
      </w:pPr>
      <w:r>
        <w:t>(</w:t>
      </w:r>
      <w:r>
        <w:rPr>
          <w:rFonts w:hint="eastAsia"/>
        </w:rPr>
        <w:t>2</w:t>
      </w:r>
      <w:r>
        <w:t>) 无监督学习的特点是：数据没有标签信息。现实生活中的数据通常符合这样的特点，所以这些无监督学习算法就是解决这种没有数据标签的数据如何完成指定任务的。无监督学习可以分为聚类和降维。聚类算法主要用于根据属性和行为对样本进行分组，这与之前提到的分类算法不同，聚类算法事先并不知道样本的组别。降维算法主要是通过找到共同点来减少数据集的变量，目前大多数数据可视化操作将使用降维算法来识别趋势和提取规则。</w:t>
      </w:r>
    </w:p>
    <w:p>
      <w:pPr>
        <w:ind w:firstLine="480"/>
      </w:pPr>
      <w:r>
        <w:t>(</w:t>
      </w:r>
      <w:r>
        <w:rPr>
          <w:rFonts w:hint="eastAsia"/>
        </w:rPr>
        <w:t>3</w:t>
      </w:r>
      <w:r>
        <w:t>) 强化学习的特点是：通过“智能体”本身的学习历史和经验来做出决定。与监督和非监督学习不同，强化学习没有绝对意义上的对错之分。智能体通过不断的“试错”来和外界环境产生交互，以此来获得奖赏或惩罚，智能体主要目的就是获得利益最大化。强化学习的由来也是借鉴了人类在学习新知识时候的过程。</w:t>
      </w:r>
    </w:p>
    <w:p>
      <w:pPr>
        <w:ind w:firstLine="480"/>
      </w:pPr>
      <w:r>
        <w:t>本文涉及多种机器学习算法，下面我们将简要介绍各种算法的基本原理与特点。</w:t>
      </w:r>
    </w:p>
    <w:p>
      <w:pPr>
        <w:pStyle w:val="37"/>
      </w:pPr>
      <w:bookmarkStart w:id="80" w:name="_Toc7857997"/>
      <w:r>
        <w:t>2.3.1  K-NN算法</w:t>
      </w:r>
      <w:bookmarkEnd w:id="80"/>
    </w:p>
    <w:p>
      <w:pPr>
        <w:ind w:firstLine="480"/>
      </w:pPr>
      <w:r>
        <w:t>K-NN算法的英文全称是k-NearestNeighbor，中文名称是K近邻算法，是一种用于分类和回归的有监督机器学习算法。算法的主要思想是：一个样本的类别主要由与它最近的K个样本的类别决定，同时这个样本也将具有该类别所有的特征。K-NN算法不但可以参与分类任务同时也可以参与回归任务，之前提到样本类别由邻居样本的类别决定，同时也有邻居样本的特征值，如果将所有邻居样本的特征值进行加权平均，那么就能够得到样本的特征回归值。K-NN的特点对数据的局部结构敏感，该特点决定了它的决策边界是非线性的，那些具有重叠、非线性可分的数据将特别适合使用K-NN算法处理。K-NN算法的具体步骤如下：</w:t>
      </w:r>
    </w:p>
    <w:p>
      <w:pPr>
        <w:pStyle w:val="38"/>
        <w:numPr>
          <w:ilvl w:val="0"/>
          <w:numId w:val="1"/>
        </w:numPr>
        <w:ind w:firstLineChars="0"/>
      </w:pPr>
      <w:r>
        <w:t>将初始化距离设置为最大值；</w:t>
      </w:r>
    </w:p>
    <w:p>
      <w:pPr>
        <w:pStyle w:val="38"/>
        <w:numPr>
          <w:ilvl w:val="0"/>
          <w:numId w:val="1"/>
        </w:numPr>
        <w:ind w:firstLineChars="0"/>
      </w:pPr>
      <w:r>
        <w:t>计算目标样本和其他训练样本的距离distance；</w:t>
      </w:r>
    </w:p>
    <w:p>
      <w:pPr>
        <w:pStyle w:val="38"/>
        <w:numPr>
          <w:ilvl w:val="0"/>
          <w:numId w:val="1"/>
        </w:numPr>
        <w:ind w:firstLineChars="0"/>
      </w:pPr>
      <w:r>
        <w:t>得到目前K个最近邻样本中的最大距离max；</w:t>
      </w:r>
    </w:p>
    <w:p>
      <w:pPr>
        <w:pStyle w:val="38"/>
        <w:numPr>
          <w:ilvl w:val="0"/>
          <w:numId w:val="1"/>
        </w:numPr>
        <w:ind w:firstLineChars="0"/>
      </w:pPr>
      <w:r>
        <w:t>若distance&lt;max，视该训练样本为K-Nearest Neighbor样本；</w:t>
      </w:r>
    </w:p>
    <w:p>
      <w:pPr>
        <w:pStyle w:val="38"/>
        <w:numPr>
          <w:ilvl w:val="0"/>
          <w:numId w:val="1"/>
        </w:numPr>
        <w:ind w:firstLineChars="0"/>
      </w:pPr>
      <w:r>
        <w:t>重复2、3、4，遍历所有未知样本并计算距离；</w:t>
      </w:r>
    </w:p>
    <w:p>
      <w:pPr>
        <w:pStyle w:val="38"/>
        <w:numPr>
          <w:ilvl w:val="0"/>
          <w:numId w:val="1"/>
        </w:numPr>
        <w:ind w:firstLineChars="0"/>
      </w:pPr>
      <w:r>
        <w:t>统计K- Nearest Neighbor样本中各类标号的出现次数；</w:t>
      </w:r>
    </w:p>
    <w:p>
      <w:pPr>
        <w:pStyle w:val="38"/>
        <w:numPr>
          <w:ilvl w:val="0"/>
          <w:numId w:val="1"/>
        </w:numPr>
        <w:ind w:firstLineChars="0"/>
      </w:pPr>
      <w:r>
        <w:t>给未知样本标记为6中出现频率最大的类标号。</w:t>
      </w:r>
    </w:p>
    <w:p>
      <w:pPr>
        <w:ind w:firstLine="0" w:firstLineChars="0"/>
      </w:pPr>
      <w:r>
        <w:t>算法的优点是：不需要进行参数训练、简单容易理解。</w:t>
      </w:r>
    </w:p>
    <w:p>
      <w:pPr>
        <w:ind w:firstLine="0" w:firstLineChars="0"/>
      </w:pPr>
      <w:r>
        <w:t>算法的缺点是：每次迭代需要进行大量的计算、不能够像决策树那样给出具体规则。</w:t>
      </w:r>
    </w:p>
    <w:p>
      <w:pPr>
        <w:pStyle w:val="37"/>
      </w:pPr>
      <w:bookmarkStart w:id="81" w:name="_Toc7857998"/>
      <w:r>
        <w:t>2.3.2  K-Means算法</w:t>
      </w:r>
      <w:bookmarkEnd w:id="81"/>
    </w:p>
    <w:p>
      <w:pPr>
        <w:ind w:firstLine="480"/>
      </w:pPr>
      <w:r>
        <w:rPr>
          <w:rFonts w:hint="eastAsia"/>
        </w:rPr>
        <w:t>K-Means算法中文名称是K均值算法，</w:t>
      </w:r>
      <w:r>
        <w:t>是一种用于</w:t>
      </w:r>
      <w:r>
        <w:rPr>
          <w:rFonts w:hint="eastAsia"/>
        </w:rPr>
        <w:t>聚类的无监督机器学习算法。算法的主要思想是：在样本内随机选择几个初始点，随后所有的样本点计算与初始点的距离，并将样本点分配给最近的初始点作为一类。之后通过计算更新每一类中的质心作为下一次的“初始点”，一直迭代直到符合某个结束条件。</w:t>
      </w:r>
    </w:p>
    <w:p>
      <w:pPr>
        <w:ind w:firstLine="480"/>
      </w:pPr>
      <w:r>
        <w:rPr>
          <w:rFonts w:hint="eastAsia"/>
        </w:rPr>
        <w:t>K-Means算法中最重要的步骤是初始质心的选取。通常使用的方法是在样本点中随机设置初始质心，但是这种方法的效果一般不好。第二种方法是：首先利用层次聚类的方法将样本点分成若干小类，最后从这些类别中选取初始质心，由于先验知识的加入通常这种选取质心的方法会取得一定的效果。但是这种方法有使用条件：其一是样本的数据量较小，这是因为层次聚类的计算量大；其二是K的数值远远小于样本点的个数。第三种方法是：第一个初始质心可以选择所有样本点的质心，之后每一个新增质心都是距离初始质心最远的一个点，直到质心数量符合我们设定的值。这种方法避免质心选择的随机性，保证初始质心都是在数据中心分散开来的，但这种方法仍有缺陷是有可能选取到离群点。</w:t>
      </w:r>
    </w:p>
    <w:p>
      <w:pPr>
        <w:ind w:firstLine="480"/>
      </w:pPr>
      <w:r>
        <w:t>基本的k-means算法流程如下：</w:t>
      </w:r>
    </w:p>
    <w:p>
      <w:pPr>
        <w:numPr>
          <w:ilvl w:val="0"/>
          <w:numId w:val="2"/>
        </w:numPr>
        <w:ind w:firstLineChars="0"/>
      </w:pPr>
      <w:r>
        <w:t>选取k个初始质心（作为初始cluster）；</w:t>
      </w:r>
    </w:p>
    <w:p>
      <w:pPr>
        <w:numPr>
          <w:ilvl w:val="0"/>
          <w:numId w:val="2"/>
        </w:numPr>
        <w:ind w:firstLineChars="0"/>
      </w:pPr>
      <w:r>
        <w:t>重复：对每个样本点，计算得到距其最近的质心，将其类别标为该质心所对应的cluster重新计算k个cluser对应的质心；</w:t>
      </w:r>
    </w:p>
    <w:p>
      <w:pPr>
        <w:numPr>
          <w:ilvl w:val="0"/>
          <w:numId w:val="2"/>
        </w:numPr>
        <w:ind w:firstLineChars="0"/>
      </w:pPr>
      <w:r>
        <w:t>结束：直到质心不再发生变化。</w:t>
      </w:r>
    </w:p>
    <w:p>
      <w:pPr>
        <w:ind w:firstLine="480"/>
      </w:pPr>
      <w:r>
        <w:t>对于欧氏空间的样本数据，通常以平方误差和（sum of the squared error, SSE)作为聚类的目标函数，同时也是衡量不同聚类结果好坏的指标：</w:t>
      </w:r>
    </w:p>
    <w:p>
      <w:pPr>
        <w:spacing w:after="312" w:afterLines="100"/>
        <w:ind w:firstLine="0" w:firstLineChars="0"/>
        <w:jc w:val="right"/>
      </w:pPr>
      <w:r>
        <w:rPr>
          <w:position w:val="-32"/>
        </w:rPr>
        <w:object>
          <v:shape id="_x0000_i1026" o:spt="75" type="#_x0000_t75" style="height:33.8pt;width:100.25pt;" o:ole="t" filled="f" o:preferrelative="t" stroked="f" coordsize="21600,21600">
            <v:path/>
            <v:fill on="f" focussize="0,0"/>
            <v:stroke on="f" joinstyle="miter"/>
            <v:imagedata r:id="rId35" o:title=""/>
            <o:lock v:ext="edit" aspectratio="t"/>
            <w10:wrap type="none"/>
            <w10:anchorlock/>
          </v:shape>
          <o:OLEObject Type="Embed" ProgID="Equation.DSMT4" ShapeID="_x0000_i1026" DrawAspect="Content" ObjectID="_1468075726" r:id="rId34">
            <o:LockedField>false</o:LockedField>
          </o:OLEObject>
        </w:object>
      </w:r>
      <w:r>
        <w:t xml:space="preserve">                          (2-3)</w:t>
      </w:r>
    </w:p>
    <w:p>
      <w:pPr>
        <w:numPr>
          <w:ilvl w:val="0"/>
          <w:numId w:val="3"/>
        </w:numPr>
        <w:ind w:firstLine="480"/>
      </w:pPr>
      <w:r>
        <w:t>Means算法的优点是：算法的可解释型强、算法简单且需要的调节的参数少。</w:t>
      </w:r>
    </w:p>
    <w:p>
      <w:pPr>
        <w:ind w:firstLine="480"/>
      </w:pPr>
      <w:r>
        <w:t>K-Means算法的缺点是：K值的选取不好把握，迭代式算法只能得到局部最优解、对类别严重失衡的数据聚类效果不佳。</w:t>
      </w:r>
    </w:p>
    <w:p>
      <w:pPr>
        <w:pStyle w:val="37"/>
      </w:pPr>
      <w:bookmarkStart w:id="82" w:name="_Toc7857999"/>
      <w:r>
        <w:t>2.3.3  XGBoost算法</w:t>
      </w:r>
      <w:bookmarkEnd w:id="82"/>
    </w:p>
    <w:p>
      <w:pPr>
        <w:ind w:firstLine="480"/>
      </w:pPr>
      <w:r>
        <w:t>XGBoost</w:t>
      </w:r>
      <w:r>
        <w:rPr>
          <w:rFonts w:hint="eastAsia"/>
        </w:rPr>
        <w:t>算法的英文全称是</w:t>
      </w:r>
      <w:r>
        <w:t>Xtreme Gradient Boosting</w:t>
      </w:r>
      <w:r>
        <w:rPr>
          <w:rFonts w:hint="eastAsia"/>
        </w:rPr>
        <w:t>，中文名称是</w:t>
      </w:r>
      <w:r>
        <w:t>极端梯度提升</w:t>
      </w:r>
      <w:r>
        <w:rPr>
          <w:rFonts w:hint="eastAsia"/>
        </w:rPr>
        <w:t>算法，是一种可以大规模并行的Boostin</w:t>
      </w:r>
      <w:r>
        <w:t>g</w:t>
      </w:r>
      <w:r>
        <w:rPr>
          <w:vertAlign w:val="superscript"/>
        </w:rPr>
        <w:t>[</w:t>
      </w:r>
      <w:r>
        <w:rPr>
          <w:vertAlign w:val="superscript"/>
        </w:rPr>
        <w:fldChar w:fldCharType="begin"/>
      </w:r>
      <w:r>
        <w:rPr>
          <w:vertAlign w:val="superscript"/>
        </w:rPr>
        <w:instrText xml:space="preserve"> REF BIB_ke2017lightgbm \h \* MERGEFORMAT </w:instrText>
      </w:r>
      <w:r>
        <w:rPr>
          <w:vertAlign w:val="superscript"/>
        </w:rPr>
        <w:fldChar w:fldCharType="separate"/>
      </w:r>
      <w:r>
        <w:rPr>
          <w:vertAlign w:val="superscript"/>
        </w:rPr>
        <w:t>28</w:t>
      </w:r>
      <w:r>
        <w:rPr>
          <w:vertAlign w:val="superscript"/>
        </w:rPr>
        <w:fldChar w:fldCharType="end"/>
      </w:r>
      <w:r>
        <w:rPr>
          <w:vertAlign w:val="superscript"/>
        </w:rPr>
        <w:t>]</w:t>
      </w:r>
      <w:r>
        <w:rPr>
          <w:rFonts w:hint="eastAsia"/>
        </w:rPr>
        <w:t>集成算法。算法的基本思想是：在学习任务中</w:t>
      </w:r>
      <w:r>
        <w:t>不断地添加树，</w:t>
      </w:r>
      <w:r>
        <w:rPr>
          <w:rFonts w:hint="eastAsia"/>
        </w:rPr>
        <w:t>同时</w:t>
      </w:r>
      <w:r>
        <w:t>不断地进行特征分裂来生长一棵树</w:t>
      </w:r>
      <w:r>
        <w:rPr>
          <w:rFonts w:hint="eastAsia"/>
        </w:rPr>
        <w:t>。</w:t>
      </w:r>
      <w:r>
        <w:t>每次添加一个树，</w:t>
      </w:r>
      <w:r>
        <w:rPr>
          <w:rFonts w:hint="eastAsia"/>
        </w:rPr>
        <w:t>其目的就是</w:t>
      </w:r>
      <w:r>
        <w:t>学习一个新函数，去拟合上次预测的残差。</w:t>
      </w:r>
      <w:r>
        <w:rPr>
          <w:rFonts w:hint="eastAsia"/>
        </w:rPr>
        <w:t>当我们在训练集中训练出K个树后，需要给样本一个分数，分数的计算过程是将把样本的特征落在所有树上的叶子节点分数加在一起，就是样本的预测值。</w:t>
      </w:r>
    </w:p>
    <w:p>
      <w:pPr>
        <w:ind w:firstLine="480"/>
      </w:pPr>
      <w:r>
        <w:rPr>
          <w:rFonts w:hint="eastAsia"/>
        </w:rPr>
        <w:t>XGBoost是目前训练速度最快、效果最优的开源机器学习算法之一，在各种数据竞赛中取得了不俗的成绩。XGBoost最大的优势是并行化操作，原因是Boosting算法的特点是当前的树计算依赖于之前的结果，所以是一种串行结构，但是XGBoost巧妙的解决了该问题，它在枚举特征选择最佳分裂点时将各个树串行操作，同时枚举特征计算最佳分裂点也是树计算中最耗时的部分。XGBoost的另外一大优点是对缺失值的处理：当样本的某个特征缺失时，模型会默认将其默认地分到某个节点，具体是左边节点还是右边节点需要通过计算，具体方法是假设该特征是左边或者右边节点，然后分别计算其信息增益，最终选择信息增益大的一边节点。</w:t>
      </w:r>
    </w:p>
    <w:p>
      <w:pPr>
        <w:ind w:firstLine="480"/>
      </w:pPr>
      <w:r>
        <w:t>XGBoost模型</w:t>
      </w:r>
      <w:r>
        <w:rPr>
          <w:rFonts w:hint="eastAsia"/>
        </w:rPr>
        <w:t>特点包括以下</w:t>
      </w:r>
      <w:r>
        <w:t>：</w:t>
      </w:r>
    </w:p>
    <w:p>
      <w:pPr>
        <w:ind w:left="480" w:firstLine="0" w:firstLineChars="0"/>
      </w:pPr>
      <w:r>
        <w:rPr>
          <w:rFonts w:hint="eastAsia"/>
        </w:rPr>
        <w:t>(</w:t>
      </w:r>
      <w:r>
        <w:t xml:space="preserve">1) </w:t>
      </w:r>
      <w:r>
        <w:rPr>
          <w:rFonts w:hint="eastAsia"/>
        </w:rPr>
        <w:t>有多</w:t>
      </w:r>
      <w:r>
        <w:t>重防止过拟合策略：正则化项、列采样等；</w:t>
      </w:r>
    </w:p>
    <w:p>
      <w:pPr>
        <w:ind w:left="480" w:firstLine="0" w:firstLineChars="0"/>
      </w:pPr>
      <w:r>
        <w:rPr>
          <w:rFonts w:hint="eastAsia"/>
        </w:rPr>
        <w:t>(</w:t>
      </w:r>
      <w:r>
        <w:t>2) 目标函数可自定义：只要是目标函数二阶可导数即可；</w:t>
      </w:r>
    </w:p>
    <w:p>
      <w:pPr>
        <w:ind w:left="480" w:firstLine="0" w:firstLineChars="0"/>
      </w:pPr>
      <w:r>
        <w:rPr>
          <w:rFonts w:hint="eastAsia"/>
        </w:rPr>
        <w:t>(</w:t>
      </w:r>
      <w:r>
        <w:t>3) 内置交叉验证</w:t>
      </w:r>
      <w:r>
        <w:rPr>
          <w:vertAlign w:val="superscript"/>
        </w:rPr>
        <w:t>[</w:t>
      </w:r>
      <w:r>
        <w:rPr>
          <w:vertAlign w:val="superscript"/>
        </w:rPr>
        <w:fldChar w:fldCharType="begin"/>
      </w:r>
      <w:r>
        <w:rPr>
          <w:vertAlign w:val="superscript"/>
        </w:rPr>
        <w:instrText xml:space="preserve"> REF BIB_varoquaux2017assessing \h \* MERGEFORMAT </w:instrText>
      </w:r>
      <w:r>
        <w:rPr>
          <w:vertAlign w:val="superscript"/>
        </w:rPr>
        <w:fldChar w:fldCharType="separate"/>
      </w:r>
      <w:r>
        <w:rPr>
          <w:vertAlign w:val="superscript"/>
        </w:rPr>
        <w:t>29</w:t>
      </w:r>
      <w:r>
        <w:rPr>
          <w:vertAlign w:val="superscript"/>
        </w:rPr>
        <w:fldChar w:fldCharType="end"/>
      </w:r>
      <w:r>
        <w:rPr>
          <w:vertAlign w:val="superscript"/>
        </w:rPr>
        <w:t>]</w:t>
      </w:r>
      <w:r>
        <w:t>、Early Stopping</w:t>
      </w:r>
      <w:r>
        <w:rPr>
          <w:vertAlign w:val="superscript"/>
        </w:rPr>
        <w:t>[</w:t>
      </w:r>
      <w:r>
        <w:rPr>
          <w:vertAlign w:val="superscript"/>
        </w:rPr>
        <w:fldChar w:fldCharType="begin"/>
      </w:r>
      <w:r>
        <w:rPr>
          <w:vertAlign w:val="superscript"/>
        </w:rPr>
        <w:instrText xml:space="preserve"> REF BIB_wei2017early \h \* MERGEFORMAT </w:instrText>
      </w:r>
      <w:r>
        <w:rPr>
          <w:vertAlign w:val="superscript"/>
        </w:rPr>
        <w:fldChar w:fldCharType="separate"/>
      </w:r>
      <w:r>
        <w:rPr>
          <w:vertAlign w:val="superscript"/>
        </w:rPr>
        <w:t>30</w:t>
      </w:r>
      <w:r>
        <w:rPr>
          <w:vertAlign w:val="superscript"/>
        </w:rPr>
        <w:fldChar w:fldCharType="end"/>
      </w:r>
      <w:r>
        <w:rPr>
          <w:vertAlign w:val="superscript"/>
        </w:rPr>
        <w:t>]</w:t>
      </w:r>
      <w:r>
        <w:t>：预测结果很好时提前停止建树加快训练；</w:t>
      </w:r>
    </w:p>
    <w:p>
      <w:pPr>
        <w:ind w:left="480" w:firstLine="0" w:firstLineChars="0"/>
      </w:pPr>
      <w:r>
        <w:rPr>
          <w:rFonts w:hint="eastAsia"/>
        </w:rPr>
        <w:t>(</w:t>
      </w:r>
      <w:r>
        <w:t>4) 样本权重自定义：该权重体现在一阶导数g和二阶导数h，通过调整权重可以改变样本的重要程度。</w:t>
      </w:r>
    </w:p>
    <w:p>
      <w:pPr>
        <w:pStyle w:val="37"/>
      </w:pPr>
      <w:bookmarkStart w:id="83" w:name="_Toc7858000"/>
      <w:r>
        <w:rPr>
          <w:rFonts w:hint="eastAsia"/>
        </w:rPr>
        <w:t>2.3.4  LR算法</w:t>
      </w:r>
      <w:bookmarkEnd w:id="83"/>
    </w:p>
    <w:p>
      <w:pPr>
        <w:ind w:firstLine="480"/>
      </w:pPr>
      <w:r>
        <w:t>LR算法的英文全称是Logistic Regression，中文名称是逻辑回归算法，是一种基于Sigmoid函数的二分类有监督机器学习算法。Sigmoid函数</w:t>
      </w:r>
      <w:r>
        <w:rPr>
          <w:vertAlign w:val="superscript"/>
        </w:rPr>
        <w:t>[</w:t>
      </w:r>
      <w:r>
        <w:rPr>
          <w:vertAlign w:val="superscript"/>
        </w:rPr>
        <w:fldChar w:fldCharType="begin"/>
      </w:r>
      <w:r>
        <w:rPr>
          <w:vertAlign w:val="superscript"/>
        </w:rPr>
        <w:instrText xml:space="preserve"> REF BIB_kyurkchiev2015sigmoid \h \* MERGEFORMAT </w:instrText>
      </w:r>
      <w:r>
        <w:rPr>
          <w:vertAlign w:val="superscript"/>
        </w:rPr>
        <w:fldChar w:fldCharType="separate"/>
      </w:r>
      <w:r>
        <w:rPr>
          <w:vertAlign w:val="superscript"/>
        </w:rPr>
        <w:t>31</w:t>
      </w:r>
      <w:r>
        <w:rPr>
          <w:vertAlign w:val="superscript"/>
        </w:rPr>
        <w:fldChar w:fldCharType="end"/>
      </w:r>
      <w:r>
        <w:rPr>
          <w:vertAlign w:val="superscript"/>
        </w:rPr>
        <w:t>]</w:t>
      </w:r>
      <w:r>
        <w:t>是函数曲线左右两端分别趋近于0和1的单调递增曲线，通常的用途是模拟二进制变量，可以将无穷大的区间线性投影到0到1范围内。算法的基本思想是：先对样本数据建立线性模型，然后借用sigmoid函数将其取值范围投影在0到1范围内，这样就可以把输出结果当做该样本属于某类型的概率，最后针对目标函数使用“极大似然法”去进行参数优化。“极大似然法”是统计模型中估计参数的通用方法，这里不做赘述。</w:t>
      </w:r>
    </w:p>
    <w:p>
      <w:pPr>
        <w:ind w:firstLine="480"/>
      </w:pPr>
      <w:r>
        <w:t>LR算法是一种二分类的模型，但是可以通过一些技巧实现多分类功能。第一种策略是：一对多，即使用LR算法每次只从中队类型中选择一种，而算法重复N次（N代表总分类数）；第二种策略是：每次只训练一对类别，比如有三种类别分别是A、B、C那么每次需要训练的分类器是：AB，AC，BC。</w:t>
      </w:r>
    </w:p>
    <w:p>
      <w:pPr>
        <w:ind w:firstLine="480"/>
      </w:pPr>
      <w:r>
        <w:t>LR算法的特点包含以下几个方面：首先LR算法原理简单，所以计算的效率很高，对内存的占用不高，很适合大型数据处理和在线机器学习。同时LR算法对数据中的小噪声具有很好的稳定性，轻微的数据异常不会对算法的性能产生大的影响。另外普通的线性回归产生的分类决策面是所有样本共同决定的所以在类别失衡时，分类决策面会严重倾斜，但是LR算法很好的克服了这个问题，其思想是LR算法通过线性映射，使得远离决策面的样本点其作用减弱。最后LR可以配合多种正则化</w:t>
      </w:r>
      <w:r>
        <w:rPr>
          <w:vertAlign w:val="superscript"/>
        </w:rPr>
        <w:t>[</w:t>
      </w:r>
      <w:r>
        <w:rPr>
          <w:vertAlign w:val="superscript"/>
        </w:rPr>
        <w:fldChar w:fldCharType="begin"/>
      </w:r>
      <w:r>
        <w:rPr>
          <w:vertAlign w:val="superscript"/>
        </w:rPr>
        <w:instrText xml:space="preserve"> REF BIB_buhlmann2011statistics \h \* MERGEFORMAT </w:instrText>
      </w:r>
      <w:r>
        <w:rPr>
          <w:vertAlign w:val="superscript"/>
        </w:rPr>
        <w:fldChar w:fldCharType="separate"/>
      </w:r>
      <w:r>
        <w:rPr>
          <w:vertAlign w:val="superscript"/>
        </w:rPr>
        <w:t>32</w:t>
      </w:r>
      <w:r>
        <w:rPr>
          <w:vertAlign w:val="superscript"/>
        </w:rPr>
        <w:fldChar w:fldCharType="end"/>
      </w:r>
      <w:r>
        <w:rPr>
          <w:vertAlign w:val="superscript"/>
        </w:rPr>
        <w:t>]</w:t>
      </w:r>
      <w:r>
        <w:t>手段来防止过拟合，包括L0、L1、L2正则化。</w:t>
      </w:r>
    </w:p>
    <w:p>
      <w:pPr>
        <w:ind w:firstLine="480"/>
      </w:pPr>
      <w:r>
        <w:t>逻辑回归的目标函数是：</w:t>
      </w:r>
    </w:p>
    <w:p>
      <w:pPr>
        <w:spacing w:after="156" w:afterLines="50"/>
        <w:ind w:firstLine="480"/>
        <w:jc w:val="right"/>
      </w:pPr>
      <w:r>
        <w:rPr>
          <w:position w:val="-28"/>
        </w:rPr>
        <w:object>
          <v:shape id="_x0000_i1027" o:spt="75" type="#_x0000_t75" style="height:26.6pt;width:227.65pt;" o:ole="t" filled="f" o:preferrelative="t" stroked="f" coordsize="21600,21600">
            <v:path/>
            <v:fill on="f" focussize="0,0"/>
            <v:stroke on="f" joinstyle="miter"/>
            <v:imagedata r:id="rId37" o:title=""/>
            <o:lock v:ext="edit" aspectratio="t"/>
            <w10:wrap type="none"/>
            <w10:anchorlock/>
          </v:shape>
          <o:OLEObject Type="Embed" ProgID="Equation.DSMT4" ShapeID="_x0000_i1027" DrawAspect="Content" ObjectID="_1468075727" r:id="rId36">
            <o:LockedField>false</o:LockedField>
          </o:OLEObject>
        </w:object>
      </w:r>
      <w:r>
        <w:t xml:space="preserve">              (2-4)</w:t>
      </w:r>
    </w:p>
    <w:p>
      <w:pPr>
        <w:ind w:firstLine="480"/>
      </w:pPr>
      <w:r>
        <w:t>其中Xi为样本的观测值，Yi为对应的标签值，W是每个Xi的权重，b是每个Xi的偏置值。</w:t>
      </w:r>
      <w:bookmarkStart w:id="84" w:name="_Toc503296628"/>
      <w:bookmarkEnd w:id="84"/>
      <w:bookmarkStart w:id="85" w:name="_Toc503120205"/>
      <w:bookmarkEnd w:id="85"/>
      <w:bookmarkStart w:id="86" w:name="_Toc507493693"/>
      <w:bookmarkEnd w:id="86"/>
    </w:p>
    <w:p>
      <w:pPr>
        <w:ind w:firstLine="480"/>
      </w:pPr>
    </w:p>
    <w:p>
      <w:pPr>
        <w:ind w:firstLine="480"/>
      </w:pPr>
    </w:p>
    <w:p>
      <w:pPr>
        <w:pStyle w:val="40"/>
      </w:pPr>
      <w:bookmarkStart w:id="87" w:name="_Toc7858001"/>
      <w:r>
        <w:rPr>
          <w:rFonts w:hint="eastAsia"/>
        </w:rPr>
        <w:t>2.4  模型性能评估</w:t>
      </w:r>
      <w:bookmarkEnd w:id="87"/>
    </w:p>
    <w:p>
      <w:pPr>
        <w:pStyle w:val="37"/>
      </w:pPr>
      <w:bookmarkStart w:id="88" w:name="_Toc7858002"/>
      <w:r>
        <w:rPr>
          <w:rFonts w:hint="eastAsia"/>
        </w:rPr>
        <w:t>2.4.1  分类与聚类</w:t>
      </w:r>
      <w:bookmarkEnd w:id="88"/>
    </w:p>
    <w:p>
      <w:pPr>
        <w:ind w:firstLine="480"/>
      </w:pPr>
      <w:r>
        <w:t>在机器学习和统计中，</w:t>
      </w:r>
      <w:r>
        <w:rPr>
          <w:rFonts w:hint="eastAsia"/>
        </w:rPr>
        <w:t>有两大类任务分别是：分类与聚类。接下来我们将简要介绍各自的特点以及应用场景：</w:t>
      </w:r>
    </w:p>
    <w:p>
      <w:pPr>
        <w:ind w:left="2" w:leftChars="1" w:firstLine="480"/>
      </w:pPr>
      <w:r>
        <w:rPr>
          <w:rFonts w:hint="eastAsia"/>
        </w:rPr>
        <w:t>(</w:t>
      </w:r>
      <w:r>
        <w:t xml:space="preserve">1) </w:t>
      </w:r>
      <w:r>
        <w:rPr>
          <w:rFonts w:hint="eastAsia"/>
        </w:rPr>
        <w:t>分类：其在机器学习中的基本概念是在数据集中学习样本特征与样本标签的映射关系，并能够将新样本划分到合理的类别中。分类是一种有监督机器学习任务，它最大的特点是事先明确了样本所有的类别。分类的主要应用场景是给样本打上相应的标签，但它也是在回归的基础上的，比如机器学习模型将利用Softmax函数</w:t>
      </w:r>
      <w:r>
        <w:rPr>
          <w:vertAlign w:val="superscript"/>
        </w:rPr>
        <w:t>[</w:t>
      </w:r>
      <w:r>
        <w:rPr>
          <w:vertAlign w:val="superscript"/>
        </w:rPr>
        <w:fldChar w:fldCharType="begin"/>
      </w:r>
      <w:r>
        <w:rPr>
          <w:vertAlign w:val="superscript"/>
        </w:rPr>
        <w:instrText xml:space="preserve"> REF BIB_martins2016softmax \h \* MERGEFORMAT </w:instrText>
      </w:r>
      <w:r>
        <w:rPr>
          <w:vertAlign w:val="superscript"/>
        </w:rPr>
        <w:fldChar w:fldCharType="separate"/>
      </w:r>
      <w:r>
        <w:rPr>
          <w:vertAlign w:val="superscript"/>
        </w:rPr>
        <w:t>33</w:t>
      </w:r>
      <w:r>
        <w:rPr>
          <w:vertAlign w:val="superscript"/>
        </w:rPr>
        <w:fldChar w:fldCharType="end"/>
      </w:r>
      <w:r>
        <w:rPr>
          <w:vertAlign w:val="superscript"/>
        </w:rPr>
        <w:t>]</w:t>
      </w:r>
      <w:r>
        <w:rPr>
          <w:rFonts w:hint="eastAsia"/>
        </w:rPr>
        <w:t>将连续值转化成样本属于某个类别的概率，最终实现分类的功能。但是分类没有取近似的含义，类型之间区分的很明确。分类的局限性在于它的前提假设是所有的数据都是有相应的标签来对应，但是现实数据中并很多时候不能够满足这个条件的。面对海量的数据，想通过数据处理的手段使得所有数据都具有相应而且准确的标签，其代价是巨大的。目前分类的主要应用是：图像目标识别、异常点检测、产品分拣系统等。</w:t>
      </w:r>
    </w:p>
    <w:p>
      <w:pPr>
        <w:ind w:left="2" w:leftChars="1" w:firstLine="480"/>
      </w:pPr>
      <w:r>
        <w:rPr>
          <w:rFonts w:hint="eastAsia"/>
        </w:rPr>
        <w:t>(</w:t>
      </w:r>
      <w:r>
        <w:t xml:space="preserve">2) </w:t>
      </w:r>
      <w:r>
        <w:rPr>
          <w:rFonts w:hint="eastAsia"/>
        </w:rPr>
        <w:t>聚类：其在机器学习中的基本概念是实现并不知道样本的任何标签信息，通过某种机器学习算法可以将这些样本数据划分成若干类型。聚类分析的主要问题是如何将混在一团的数据聚合成若干个有意义的类型，因为事先并不知道需要聚类的个数，所以需要我们制定合理、可解释的聚类规则。目前聚类算法在多个</w:t>
      </w:r>
      <w:r>
        <w:t>领域</w:t>
      </w:r>
      <w:r>
        <w:rPr>
          <w:rFonts w:hint="eastAsia"/>
        </w:rPr>
        <w:t>有应用</w:t>
      </w:r>
      <w:r>
        <w:t>，</w:t>
      </w:r>
      <w:r>
        <w:rPr>
          <w:rFonts w:hint="eastAsia"/>
        </w:rPr>
        <w:t>例如</w:t>
      </w:r>
      <w:r>
        <w:t>机器学习，模式</w:t>
      </w:r>
      <w:r>
        <w:rPr>
          <w:rFonts w:hint="eastAsia"/>
        </w:rPr>
        <w:t>挖掘</w:t>
      </w:r>
      <w:r>
        <w:t>，</w:t>
      </w:r>
      <w:r>
        <w:rPr>
          <w:rFonts w:hint="eastAsia"/>
        </w:rPr>
        <w:t>信息压缩，数据降维</w:t>
      </w:r>
      <w:r>
        <w:t>，</w:t>
      </w:r>
      <w:r>
        <w:rPr>
          <w:rFonts w:hint="eastAsia"/>
        </w:rPr>
        <w:t>蛋白质结构分析等。</w:t>
      </w:r>
    </w:p>
    <w:p>
      <w:pPr>
        <w:ind w:firstLine="480"/>
      </w:pPr>
      <w:r>
        <w:t>聚类分析是模式挖掘的主要手段，本文对基站模式挖掘主要采用了聚类思想。</w:t>
      </w:r>
      <w:r>
        <w:rPr>
          <w:rFonts w:hint="eastAsia"/>
        </w:rPr>
        <w:t>所以对聚类方法的划分情况做简要的介绍：</w:t>
      </w:r>
    </w:p>
    <w:p>
      <w:pPr>
        <w:ind w:left="2" w:leftChars="1" w:firstLine="480"/>
      </w:pPr>
      <w:r>
        <w:rPr>
          <w:rFonts w:hint="eastAsia"/>
        </w:rPr>
        <w:t>(</w:t>
      </w:r>
      <w:r>
        <w:t>1) 基于划分的方法</w:t>
      </w:r>
      <w:r>
        <w:rPr>
          <w:rFonts w:hint="eastAsia"/>
        </w:rPr>
        <w:t>：</w:t>
      </w:r>
      <w:r>
        <w:t>计算聚类对象的某些衡量参数以及簇的表示方法不同，基于划分的方法主要包括有K-Means</w:t>
      </w:r>
      <w:r>
        <w:rPr>
          <w:vertAlign w:val="superscript"/>
        </w:rPr>
        <w:t>[</w:t>
      </w:r>
      <w:r>
        <w:rPr>
          <w:vertAlign w:val="superscript"/>
        </w:rPr>
        <w:fldChar w:fldCharType="begin"/>
      </w:r>
      <w:r>
        <w:rPr>
          <w:vertAlign w:val="superscript"/>
        </w:rPr>
        <w:instrText xml:space="preserve"> REF BIB_macqueen1965some \h \* MERGEFORMAT </w:instrText>
      </w:r>
      <w:r>
        <w:rPr>
          <w:vertAlign w:val="superscript"/>
        </w:rPr>
        <w:fldChar w:fldCharType="separate"/>
      </w:r>
      <w:r>
        <w:rPr>
          <w:vertAlign w:val="superscript"/>
        </w:rPr>
        <w:t>34</w:t>
      </w:r>
      <w:r>
        <w:rPr>
          <w:vertAlign w:val="superscript"/>
        </w:rPr>
        <w:fldChar w:fldCharType="end"/>
      </w:r>
      <w:r>
        <w:rPr>
          <w:vertAlign w:val="superscript"/>
        </w:rPr>
        <w:t>]</w:t>
      </w:r>
      <w:r>
        <w:t>，k-中心点算法。</w:t>
      </w:r>
    </w:p>
    <w:p>
      <w:pPr>
        <w:ind w:left="2" w:leftChars="1" w:firstLine="480"/>
      </w:pPr>
      <w:r>
        <w:rPr>
          <w:rFonts w:hint="eastAsia"/>
        </w:rPr>
        <w:t>(</w:t>
      </w:r>
      <w:r>
        <w:t>2) 基于层次的方法</w:t>
      </w:r>
      <w:r>
        <w:rPr>
          <w:rFonts w:hint="eastAsia"/>
        </w:rPr>
        <w:t>：其主要原理是将数据划分层次，在每个层次上将数据聚类</w:t>
      </w:r>
      <w:r>
        <w:t>。层次聚类的方法主要有两种分别是：</w:t>
      </w:r>
      <w:r>
        <w:rPr>
          <w:rFonts w:hint="eastAsia"/>
        </w:rPr>
        <w:t>汇聚</w:t>
      </w:r>
      <w:r>
        <w:t>法和分裂法。</w:t>
      </w:r>
    </w:p>
    <w:p>
      <w:pPr>
        <w:ind w:left="2" w:leftChars="1" w:firstLine="480"/>
      </w:pPr>
      <w:r>
        <w:rPr>
          <w:rFonts w:hint="eastAsia"/>
        </w:rPr>
        <w:t>(</w:t>
      </w:r>
      <w:r>
        <w:t>3) 基于网格的方法</w:t>
      </w:r>
      <w:r>
        <w:rPr>
          <w:rFonts w:hint="eastAsia"/>
        </w:rPr>
        <w:t>：</w:t>
      </w:r>
      <w:r>
        <w:t>基于网格的聚类方法，主要使用多分辨率的网格数据结构，把对象空间量化为有限数目的单元，形成一个网格结构，所有操作都在这个网格结构上进行这种方法的主要优点是处理速度快，处理时间独立于数据对象的数目，只与量化空间中每一维的单元数目有关代表性的是STING算法</w:t>
      </w:r>
      <w:r>
        <w:rPr>
          <w:vertAlign w:val="superscript"/>
        </w:rPr>
        <w:t>[</w:t>
      </w:r>
      <w:r>
        <w:rPr>
          <w:vertAlign w:val="superscript"/>
        </w:rPr>
        <w:fldChar w:fldCharType="begin"/>
      </w:r>
      <w:r>
        <w:rPr>
          <w:vertAlign w:val="superscript"/>
        </w:rPr>
        <w:instrText xml:space="preserve"> REF BIB_wang1997sting \h \* MERGEFORMAT </w:instrText>
      </w:r>
      <w:r>
        <w:rPr>
          <w:vertAlign w:val="superscript"/>
        </w:rPr>
        <w:fldChar w:fldCharType="separate"/>
      </w:r>
      <w:r>
        <w:rPr>
          <w:vertAlign w:val="superscript"/>
        </w:rPr>
        <w:t>35</w:t>
      </w:r>
      <w:r>
        <w:rPr>
          <w:vertAlign w:val="superscript"/>
        </w:rPr>
        <w:fldChar w:fldCharType="end"/>
      </w:r>
      <w:r>
        <w:rPr>
          <w:vertAlign w:val="superscript"/>
        </w:rPr>
        <w:t>]</w:t>
      </w:r>
      <w:r>
        <w:t>。</w:t>
      </w:r>
    </w:p>
    <w:p>
      <w:pPr>
        <w:ind w:left="2" w:leftChars="1" w:firstLine="480"/>
      </w:pPr>
      <w:r>
        <w:rPr>
          <w:rFonts w:hint="eastAsia"/>
        </w:rPr>
        <w:t>(</w:t>
      </w:r>
      <w:r>
        <w:t>4) 基于密度的方法</w:t>
      </w:r>
      <w:r>
        <w:rPr>
          <w:rFonts w:hint="eastAsia"/>
        </w:rPr>
        <w:t>：之前几种聚类方法主要使用各种定义的距离来描述数据之间的相似性，</w:t>
      </w:r>
      <w:r>
        <w:t>这样的聚类方法对于大部分的球形</w:t>
      </w:r>
      <w:r>
        <w:rPr>
          <w:rFonts w:hint="eastAsia"/>
        </w:rPr>
        <w:t>分布的数据</w:t>
      </w:r>
      <w:r>
        <w:t>效果较好，但往往对任意形状的</w:t>
      </w:r>
      <w:r>
        <w:rPr>
          <w:rFonts w:hint="eastAsia"/>
        </w:rPr>
        <w:t>数据往往</w:t>
      </w:r>
      <w:r>
        <w:t>结果较差，甚至无法进行有效聚类</w:t>
      </w:r>
      <w:r>
        <w:rPr>
          <w:rFonts w:hint="eastAsia"/>
        </w:rPr>
        <w:t>。针对这样的不足，</w:t>
      </w:r>
      <w:r>
        <w:t>提出了基于密度的聚类方法。这类方法将簇看作是数据空间被低密度区域分割开的高密度区域该类算法除了可以发现任意形状的类，还能够有效去除噪声。典型的基于密度的聚类方法包括DBSCAN</w:t>
      </w:r>
      <w:r>
        <w:rPr>
          <w:vertAlign w:val="superscript"/>
        </w:rPr>
        <w:t>[</w:t>
      </w:r>
      <w:r>
        <w:rPr>
          <w:vertAlign w:val="superscript"/>
        </w:rPr>
        <w:fldChar w:fldCharType="begin"/>
      </w:r>
      <w:r>
        <w:rPr>
          <w:vertAlign w:val="superscript"/>
        </w:rPr>
        <w:instrText xml:space="preserve"> REF BIB_ester1996a \h \* MERGEFORMAT </w:instrText>
      </w:r>
      <w:r>
        <w:rPr>
          <w:vertAlign w:val="superscript"/>
        </w:rPr>
        <w:fldChar w:fldCharType="separate"/>
      </w:r>
      <w:r>
        <w:rPr>
          <w:vertAlign w:val="superscript"/>
        </w:rPr>
        <w:t>36</w:t>
      </w:r>
      <w:r>
        <w:rPr>
          <w:vertAlign w:val="superscript"/>
        </w:rPr>
        <w:fldChar w:fldCharType="end"/>
      </w:r>
      <w:r>
        <w:rPr>
          <w:vertAlign w:val="superscript"/>
        </w:rPr>
        <w:t>]</w:t>
      </w:r>
      <w:r>
        <w:t>。</w:t>
      </w:r>
    </w:p>
    <w:p>
      <w:pPr>
        <w:pStyle w:val="37"/>
      </w:pPr>
      <w:bookmarkStart w:id="89" w:name="_Toc7858003"/>
      <w:r>
        <w:t>2.4.2  模型评价方法</w:t>
      </w:r>
      <w:bookmarkEnd w:id="89"/>
    </w:p>
    <w:p>
      <w:pPr>
        <w:ind w:firstLine="480"/>
      </w:pPr>
      <w:r>
        <w:t>在建立模型之后我们需要对模型的泛化能力进行评估，这就需要有切实可行的估计方法，同时还要有度量模型泛化能力的评价指标。通常我们会根据不同的任务选出适合的任务指标。目前的对于有如下的评价指标：</w:t>
      </w:r>
    </w:p>
    <w:p>
      <w:pPr>
        <w:ind w:left="2" w:leftChars="1" w:firstLine="480"/>
      </w:pPr>
      <w:r>
        <w:rPr>
          <w:rFonts w:hint="eastAsia"/>
        </w:rPr>
        <w:t>(</w:t>
      </w:r>
      <w:r>
        <w:t>1) 对于回归任务：RMSE(平方根误差)、MAE（平均绝对误差）、MSE(平均平方误差)、</w:t>
      </w:r>
      <w:bookmarkStart w:id="90" w:name="OLE_LINK59"/>
      <w:bookmarkStart w:id="91" w:name="OLE_LINK58"/>
      <w:r>
        <w:t>Coefficient of determination</w:t>
      </w:r>
      <w:r>
        <w:rPr>
          <w:vertAlign w:val="superscript"/>
        </w:rPr>
        <w:t>[</w:t>
      </w:r>
      <w:r>
        <w:rPr>
          <w:vertAlign w:val="superscript"/>
        </w:rPr>
        <w:fldChar w:fldCharType="begin"/>
      </w:r>
      <w:r>
        <w:rPr>
          <w:vertAlign w:val="superscript"/>
        </w:rPr>
        <w:instrText xml:space="preserve"> REF BIB_nakagawa2017coefficient \h \* MERGEFORMAT </w:instrText>
      </w:r>
      <w:r>
        <w:rPr>
          <w:vertAlign w:val="superscript"/>
        </w:rPr>
        <w:fldChar w:fldCharType="separate"/>
      </w:r>
      <w:r>
        <w:rPr>
          <w:vertAlign w:val="superscript"/>
        </w:rPr>
        <w:t>37</w:t>
      </w:r>
      <w:r>
        <w:rPr>
          <w:vertAlign w:val="superscript"/>
        </w:rPr>
        <w:fldChar w:fldCharType="end"/>
      </w:r>
      <w:r>
        <w:rPr>
          <w:vertAlign w:val="superscript"/>
        </w:rPr>
        <w:t xml:space="preserve">] </w:t>
      </w:r>
      <w:bookmarkEnd w:id="90"/>
      <w:bookmarkEnd w:id="91"/>
      <w:r>
        <w:t>(决定系数)。</w:t>
      </w:r>
    </w:p>
    <w:p>
      <w:pPr>
        <w:ind w:left="2" w:leftChars="1" w:firstLine="480"/>
      </w:pPr>
      <w:r>
        <w:rPr>
          <w:rFonts w:hint="eastAsia"/>
        </w:rPr>
        <w:t>(</w:t>
      </w:r>
      <w:r>
        <w:t>2) 对于分类任务：精度、召回率、精确率、F值、ROC-AUC 、混淆矩阵、PRC。</w:t>
      </w:r>
    </w:p>
    <w:p>
      <w:pPr>
        <w:ind w:left="2" w:leftChars="1" w:firstLine="480"/>
      </w:pPr>
      <w:r>
        <w:rPr>
          <w:rFonts w:hint="eastAsia"/>
        </w:rPr>
        <w:t>(</w:t>
      </w:r>
      <w:r>
        <w:t>3) 对于聚类任务：</w:t>
      </w:r>
      <w:bookmarkStart w:id="92" w:name="OLE_LINK54"/>
      <w:bookmarkStart w:id="93" w:name="OLE_LINK55"/>
      <w:r>
        <w:t>兰德指数</w:t>
      </w:r>
      <w:bookmarkEnd w:id="92"/>
      <w:bookmarkEnd w:id="93"/>
      <w:r>
        <w:rPr>
          <w:vertAlign w:val="superscript"/>
        </w:rPr>
        <w:t>[</w:t>
      </w:r>
      <w:r>
        <w:rPr>
          <w:vertAlign w:val="superscript"/>
        </w:rPr>
        <w:fldChar w:fldCharType="begin"/>
      </w:r>
      <w:r>
        <w:rPr>
          <w:vertAlign w:val="superscript"/>
        </w:rPr>
        <w:instrText xml:space="preserve"> REF BIB_rand1971objective \h \* MERGEFORMAT </w:instrText>
      </w:r>
      <w:r>
        <w:rPr>
          <w:vertAlign w:val="superscript"/>
        </w:rPr>
        <w:fldChar w:fldCharType="separate"/>
      </w:r>
      <w:r>
        <w:rPr>
          <w:vertAlign w:val="superscript"/>
        </w:rPr>
        <w:t>38</w:t>
      </w:r>
      <w:r>
        <w:rPr>
          <w:vertAlign w:val="superscript"/>
        </w:rPr>
        <w:fldChar w:fldCharType="end"/>
      </w:r>
      <w:r>
        <w:rPr>
          <w:vertAlign w:val="superscript"/>
        </w:rPr>
        <w:t>]</w:t>
      </w:r>
      <w:r>
        <w:t>、互信息、</w:t>
      </w:r>
      <w:bookmarkStart w:id="94" w:name="OLE_LINK56"/>
      <w:bookmarkStart w:id="95" w:name="OLE_LINK57"/>
      <w:r>
        <w:t>轮廓系数</w:t>
      </w:r>
      <w:bookmarkEnd w:id="94"/>
      <w:bookmarkEnd w:id="95"/>
      <w:r>
        <w:t>。</w:t>
      </w:r>
    </w:p>
    <w:p>
      <w:pPr>
        <w:ind w:firstLine="480"/>
      </w:pPr>
      <w:r>
        <w:t>在文中我们首先给每个基站找到了合理的模式标签，最后预测了新建基站的模式类型，所以使用的是分类模型。这里需要提前说明的是分类器在测试数据集上的预测或正确与否，我们记录了四种情况出现的总数分别记作：TP (True Positive)，将正类预测为正类的样本数、FN (False Negative)，将正类预测为负类的样本数、FP (False Positive)，将负类预测为正类的样本数、TN (True Negative)，将负类预测为负类的样本数。接下来我们将重点介绍分类模型的各种评价指标，具体如下：</w:t>
      </w:r>
    </w:p>
    <w:p>
      <w:pPr>
        <w:ind w:firstLine="480"/>
      </w:pPr>
      <w:r>
        <w:rPr>
          <w:rFonts w:hint="eastAsia"/>
        </w:rPr>
        <w:t>(</w:t>
      </w:r>
      <w:r>
        <w:t>1) 错误率和精度：这是分类任务中最常用的两种性能度量指标，既然可以用于二分类任务也可以用于多分类任务。所谓的错误率就</w:t>
      </w:r>
      <w:r>
        <w:rPr>
          <w:rFonts w:hint="eastAsia"/>
        </w:rPr>
        <w:t>是分类错误的样本占所有样本的比例，而精度则相反，是分类正确的样本占所有样本的比例。它们反映了分类器整体的分类效果。这种评价方式其实具有一定的缺陷，即在数据类别不均衡的情况下对分类能力的评价并不客观。例如有如下分类问题：总共有10个苹果和1个梨子，那么将所有样本都分类成苹果的精度是10/(10+1) = 90.9%但是我们知道这种分类器的分类能力是不好的。</w:t>
      </w:r>
    </w:p>
    <w:p>
      <w:pPr>
        <w:ind w:firstLine="480"/>
      </w:pPr>
      <w:r>
        <w:rPr>
          <w:rFonts w:hint="eastAsia"/>
        </w:rPr>
        <w:t>(</w:t>
      </w:r>
      <w:r>
        <w:t>2) 精确率（Precision）：是指被分类器判定为正的样本中真正的正样本的比重，即被分类器判为正的所有样本中有多少是真正的正样本。计算公式如下：</w:t>
      </w:r>
    </w:p>
    <w:p>
      <w:pPr>
        <w:spacing w:after="156" w:afterLines="50"/>
        <w:ind w:firstLine="0" w:firstLineChars="0"/>
        <w:jc w:val="right"/>
        <w:rPr>
          <w:rFonts w:ascii="宋体" w:hAnsi="宋体" w:cs="宋体"/>
        </w:rPr>
      </w:pPr>
      <w:r>
        <w:rPr>
          <w:position w:val="-24"/>
        </w:rPr>
        <w:object>
          <v:shape id="_x0000_i1028" o:spt="75" type="#_x0000_t75" style="height:29.9pt;width:91.95pt;" o:ole="t" filled="f" o:preferrelative="t" stroked="f" coordsize="21600,21600">
            <v:path/>
            <v:fill on="f" focussize="0,0"/>
            <v:stroke on="f" joinstyle="miter"/>
            <v:imagedata r:id="rId39" o:title=""/>
            <o:lock v:ext="edit" aspectratio="t"/>
            <w10:wrap type="none"/>
            <w10:anchorlock/>
          </v:shape>
          <o:OLEObject Type="Embed" ProgID="Equation.DSMT4" ShapeID="_x0000_i1028" DrawAspect="Content" ObjectID="_1468075728" r:id="rId38">
            <o:LockedField>false</o:LockedField>
          </o:OLEObject>
        </w:object>
      </w:r>
      <w:r>
        <w:t xml:space="preserve">                         (2-5)</w:t>
      </w:r>
    </w:p>
    <w:p>
      <w:pPr>
        <w:ind w:firstLine="480"/>
      </w:pPr>
      <w:r>
        <w:rPr>
          <w:rFonts w:hint="eastAsia"/>
        </w:rPr>
        <w:t>(</w:t>
      </w:r>
      <w:r>
        <w:t>3) 召回率（Recall）：是指被正确判定的正样本占总的正样本的比重，即所有正样本有多少被分类器判为正样本。计算公式如下：</w:t>
      </w:r>
    </w:p>
    <w:p>
      <w:pPr>
        <w:spacing w:after="156" w:afterLines="50"/>
        <w:ind w:firstLine="0" w:firstLineChars="0"/>
        <w:jc w:val="right"/>
      </w:pPr>
      <w:r>
        <w:rPr>
          <w:position w:val="-24"/>
        </w:rPr>
        <w:object>
          <v:shape id="_x0000_i1029" o:spt="75" type="#_x0000_t75" style="height:31.55pt;width:80.3pt;" o:ole="t" filled="f" o:preferrelative="t" stroked="f" coordsize="21600,21600">
            <v:path/>
            <v:fill on="f" focussize="0,0"/>
            <v:stroke on="f" joinstyle="miter"/>
            <v:imagedata r:id="rId41" o:title=""/>
            <o:lock v:ext="edit" aspectratio="t"/>
            <w10:wrap type="none"/>
            <w10:anchorlock/>
          </v:shape>
          <o:OLEObject Type="Embed" ProgID="Equation.DSMT4" ShapeID="_x0000_i1029" DrawAspect="Content" ObjectID="_1468075729" r:id="rId40">
            <o:LockedField>false</o:LockedField>
          </o:OLEObject>
        </w:object>
      </w:r>
      <w:r>
        <w:t xml:space="preserve">                          (2-6)</w:t>
      </w:r>
    </w:p>
    <w:p>
      <w:pPr>
        <w:ind w:firstLine="480"/>
      </w:pPr>
      <w:r>
        <w:t>(4) F-score：是精确率和召回率的调和均值，计算公式如下：</w:t>
      </w:r>
    </w:p>
    <w:p>
      <w:pPr>
        <w:pStyle w:val="23"/>
        <w:spacing w:before="100" w:beforeAutospacing="1"/>
        <w:ind w:firstLine="480"/>
        <w:jc w:val="right"/>
        <w:rPr>
          <w:rFonts w:ascii="Times New Roman" w:hAnsi="Times New Roman" w:cs="Times New Roman"/>
        </w:rPr>
      </w:pPr>
      <w:r>
        <w:rPr>
          <w:position w:val="-26"/>
        </w:rPr>
        <w:object>
          <v:shape id="_x0000_i1030" o:spt="75" type="#_x0000_t75" style="height:33.8pt;width:161.7pt;" o:ole="t" filled="f" o:preferrelative="t" stroked="f" coordsize="21600,21600">
            <v:path/>
            <v:fill on="f" focussize="0,0"/>
            <v:stroke on="f" joinstyle="miter"/>
            <v:imagedata r:id="rId43" o:title=""/>
            <o:lock v:ext="edit" aspectratio="t"/>
            <w10:wrap type="none"/>
            <w10:anchorlock/>
          </v:shape>
          <o:OLEObject Type="Embed" ProgID="Equation.DSMT4" ShapeID="_x0000_i1030" DrawAspect="Content" ObjectID="_1468075730" r:id="rId42">
            <o:LockedField>false</o:LockedField>
          </o:OLEObject>
        </w:object>
      </w:r>
      <w:r>
        <w:t xml:space="preserve">                  </w:t>
      </w:r>
      <w:r>
        <w:rPr>
          <w:rFonts w:ascii="Times New Roman" w:hAnsi="Times New Roman" w:cs="Times New Roman"/>
        </w:rPr>
        <w:t>(2-</w:t>
      </w:r>
      <w:r>
        <w:rPr>
          <w:rFonts w:hint="eastAsia" w:cs="Times New Roman"/>
        </w:rPr>
        <w:t>7</w:t>
      </w:r>
      <w:r>
        <w:rPr>
          <w:rFonts w:ascii="Times New Roman" w:hAnsi="Times New Roman" w:cs="Times New Roman"/>
        </w:rPr>
        <w:t>)</w:t>
      </w:r>
    </w:p>
    <w:p>
      <w:pPr>
        <w:pStyle w:val="40"/>
      </w:pPr>
      <w:bookmarkStart w:id="96" w:name="_Toc7858004"/>
      <w:r>
        <w:t>2.5  开发工具</w:t>
      </w:r>
      <w:bookmarkEnd w:id="96"/>
    </w:p>
    <w:p>
      <w:pPr>
        <w:ind w:firstLine="480"/>
      </w:pPr>
      <w:r>
        <w:t>本节主要介绍本论文测量过程中中所用的开发工具，包括Pandas数据处理开源库、Numpy数组运算开源库等我们用来清洗、整理数据使用的Python库，同时在可视化方面，我们使用了Python研发中比较流行Matplot</w:t>
      </w:r>
      <w:r>
        <w:rPr>
          <w:rFonts w:hint="eastAsia"/>
        </w:rPr>
        <w:t>lib</w:t>
      </w:r>
      <w:r>
        <w:t>库制作对应的各种示意图，最后我们介绍了预测新建基站流量模式的</w:t>
      </w:r>
      <w:r>
        <w:rPr>
          <w:rFonts w:hint="eastAsia"/>
        </w:rPr>
        <w:t>Scikit-learn</w:t>
      </w:r>
      <w:r>
        <w:t>机器学习集成库。</w:t>
      </w:r>
    </w:p>
    <w:p>
      <w:pPr>
        <w:pStyle w:val="37"/>
      </w:pPr>
      <w:bookmarkStart w:id="97" w:name="_Toc7858005"/>
      <w:r>
        <w:rPr>
          <w:rFonts w:hint="eastAsia"/>
        </w:rPr>
        <w:t>2.5.1  Pandas数据处理库</w:t>
      </w:r>
      <w:bookmarkEnd w:id="97"/>
    </w:p>
    <w:p>
      <w:pPr>
        <w:ind w:firstLine="480"/>
      </w:pPr>
      <w:r>
        <w:t>在Python</w:t>
      </w:r>
      <w:r>
        <w:rPr>
          <w:rFonts w:hint="eastAsia"/>
        </w:rPr>
        <w:t>是数据科学中对</w:t>
      </w:r>
      <w:r>
        <w:t>数据进行清洗</w:t>
      </w:r>
      <w:r>
        <w:rPr>
          <w:rFonts w:hint="eastAsia"/>
        </w:rPr>
        <w:t>、整理的工具。</w:t>
      </w:r>
      <w:r>
        <w:t>Pandas适合处理多种类型的数据包括：具有不同数据类型列的表格数据</w:t>
      </w:r>
      <w:r>
        <w:rPr>
          <w:rFonts w:hint="eastAsia"/>
        </w:rPr>
        <w:t>，例如</w:t>
      </w:r>
      <w:r>
        <w:t>SQL表或Excel电子表格；有序或无序的时间序列数据</w:t>
      </w:r>
      <w:r>
        <w:rPr>
          <w:rFonts w:hint="eastAsia"/>
        </w:rPr>
        <w:t>；</w:t>
      </w:r>
      <w:r>
        <w:t>带有行和列标签的任意矩阵数据；任何其他形式的观测/统计数据集。Pandas主要包含三种数据结构，分别是Series(一维)，DataFrame(二维)，Panel(三维)。其中Series和DataFrame可以用于处理绝大多数金融，统计，社会科学和许多工程领域的典型问题。对于R用户而言，DataFrame在支持所有R的data.frame的功能的基础上还能有更丰富的应用。Pandas库建立在NumPy库之上，旨在与科学计算环境和许多其他第三方库完美集成。pandas本身依赖numpy的，而ndarray在内存里占据这一段连续的内存空间，任何改变ndarray长度的操作都势必让所有value改变内存中的位置，也确实比较慢。Pandas的优势主要集中在：</w:t>
      </w:r>
    </w:p>
    <w:p>
      <w:pPr>
        <w:numPr>
          <w:ilvl w:val="0"/>
          <w:numId w:val="4"/>
        </w:numPr>
        <w:ind w:left="480" w:leftChars="200" w:firstLineChars="0"/>
      </w:pPr>
      <w:r>
        <w:t>直观的合并，连接数据集</w:t>
      </w:r>
      <w:r>
        <w:rPr>
          <w:rFonts w:hint="eastAsia"/>
        </w:rPr>
        <w:t>操作</w:t>
      </w:r>
      <w:r>
        <w:t>；</w:t>
      </w:r>
    </w:p>
    <w:p>
      <w:pPr>
        <w:numPr>
          <w:ilvl w:val="0"/>
          <w:numId w:val="4"/>
        </w:numPr>
        <w:ind w:left="480" w:leftChars="200" w:firstLineChars="0"/>
      </w:pPr>
      <w:r>
        <w:rPr>
          <w:rFonts w:hint="eastAsia"/>
        </w:rPr>
        <w:t>方便</w:t>
      </w:r>
      <w:r>
        <w:t>重新定义数据集形状和转置</w:t>
      </w:r>
      <w:r>
        <w:rPr>
          <w:rFonts w:hint="eastAsia"/>
        </w:rPr>
        <w:t>操作</w:t>
      </w:r>
      <w:r>
        <w:t>；</w:t>
      </w:r>
    </w:p>
    <w:p>
      <w:pPr>
        <w:numPr>
          <w:ilvl w:val="0"/>
          <w:numId w:val="4"/>
        </w:numPr>
        <w:ind w:left="480" w:leftChars="200" w:firstLineChars="0"/>
      </w:pPr>
      <w:r>
        <w:t>DataFrame和Panel都可以删除或插入列</w:t>
      </w:r>
      <w:r>
        <w:rPr>
          <w:rFonts w:hint="eastAsia"/>
        </w:rPr>
        <w:t>；</w:t>
      </w:r>
    </w:p>
    <w:p>
      <w:pPr>
        <w:numPr>
          <w:ilvl w:val="0"/>
          <w:numId w:val="4"/>
        </w:numPr>
        <w:ind w:left="480" w:leftChars="200" w:firstLineChars="0"/>
      </w:pPr>
      <w:r>
        <w:t>分组功能可以对对数据集进行拆分组合，十分灵活方便；</w:t>
      </w:r>
    </w:p>
    <w:p>
      <w:pPr>
        <w:numPr>
          <w:ilvl w:val="0"/>
          <w:numId w:val="4"/>
        </w:numPr>
        <w:ind w:left="480" w:leftChars="200" w:firstLineChars="0"/>
      </w:pPr>
      <w:r>
        <w:t>基于智能标签的切片，花式索引，轻易从大数据集中取出子集；</w:t>
      </w:r>
    </w:p>
    <w:p>
      <w:pPr>
        <w:numPr>
          <w:ilvl w:val="0"/>
          <w:numId w:val="4"/>
        </w:numPr>
        <w:ind w:left="480" w:leftChars="200" w:firstLineChars="0"/>
      </w:pPr>
      <w:r>
        <w:t>轴(axes)的分层标签（使每个元组有多个标签成为可能</w:t>
      </w:r>
      <w:r>
        <w:rPr>
          <w:rFonts w:hint="eastAsia"/>
        </w:rPr>
        <w:t>）；</w:t>
      </w:r>
    </w:p>
    <w:p>
      <w:pPr>
        <w:numPr>
          <w:ilvl w:val="0"/>
          <w:numId w:val="4"/>
        </w:numPr>
        <w:ind w:left="480" w:leftChars="200" w:firstLineChars="0"/>
      </w:pPr>
      <w:r>
        <w:t>浮点数据及非浮点数据类型的缺失值(NaN)处理非常方便</w:t>
      </w:r>
      <w:r>
        <w:rPr>
          <w:rFonts w:hint="eastAsia"/>
        </w:rPr>
        <w:t>；</w:t>
      </w:r>
    </w:p>
    <w:p>
      <w:pPr>
        <w:numPr>
          <w:ilvl w:val="0"/>
          <w:numId w:val="4"/>
        </w:numPr>
        <w:ind w:left="480" w:leftChars="200" w:firstLineChars="0"/>
      </w:pPr>
      <w:r>
        <w:t>包括NumPy等数据结构中不同类索引的数据都可以转换DataFrame对象</w:t>
      </w:r>
    </w:p>
    <w:p>
      <w:pPr>
        <w:ind w:firstLine="480"/>
      </w:pPr>
      <w:r>
        <w:t>Pandas库对于统计科学家来说，在分析数据时是理想的工具，非常适合应用于数据清洗，分析/建模，然后将分析结果组织成适合于绘图或表格显示的形式的全部过程。</w:t>
      </w:r>
      <w:r>
        <w:rPr>
          <w:rFonts w:hint="eastAsia"/>
        </w:rPr>
        <w:t>S</w:t>
      </w:r>
      <w:r>
        <w:t>tatsmodel库依赖Pandas库，使其成为Python统计计算系统的重要组成部分。</w:t>
      </w:r>
    </w:p>
    <w:p>
      <w:pPr>
        <w:pStyle w:val="37"/>
      </w:pPr>
      <w:bookmarkStart w:id="98" w:name="_Toc7858006"/>
      <w:r>
        <w:rPr>
          <w:rFonts w:hint="eastAsia"/>
        </w:rPr>
        <w:t>2.5.2  Numpy数组运算库</w:t>
      </w:r>
      <w:bookmarkEnd w:id="98"/>
    </w:p>
    <w:p>
      <w:pPr>
        <w:ind w:firstLine="480"/>
      </w:pPr>
      <w:r>
        <w:t>在我们数据处理的过程中，遇到这样的数据类型，它每个元素的数据类型都一致，但还是它们的数量众多（比如基站的坐标数据），在算法中为了加速算法的运算，我们使用的N维数组这种数据结构，Numpy正是</w:t>
      </w:r>
      <w:r>
        <w:rPr>
          <w:rFonts w:hint="eastAsia"/>
        </w:rPr>
        <w:t>专门应对这种数据结构的</w:t>
      </w:r>
      <w:r>
        <w:t>工具。它本身基于C语言的开发，所以它的运算速度非常的快。</w:t>
      </w:r>
    </w:p>
    <w:p>
      <w:pPr>
        <w:ind w:firstLine="480"/>
      </w:pPr>
      <w:r>
        <w:t>NumPy是使用Python进行科学计算的基础包，它拥有一个强大的N维数组对象，支持复杂的（广播）功能，而且还可以用于集成C / C和Fortran代码，同时支持复杂的线性代数功能，有傅里叶变换和随机数功能 除了明显的科学用途外，NumPy还可以用作通用数据的高效多维容器，可以定义任意数据类型。这使NumPy能够无缝快速地与各种数据库集成。NumPy对象可用来存储和处理大型数学矩阵，比Python自身的嵌套列表结构要高效的多。NumPy提供了一个N维数组类型ndarray，它描述了相同类型的Ttems的集合。 因为ndarray中的所有元素的类型都是相同的，而Python列表中的元素类型是任意的，所以ndarray在存储元素时内存可以连续，而python原生list就只能通过寻址方式找到下一个元素，这虽然也导致了在通用性能方面Numpy的ndarray不及Python原生list，但在科学计算中，Numpy的ndarray就可以省掉很多循环语句，代码使用方面比Python原生list简单的多。Numpy内置了并行运算功能，当系统有多个核心时，做某种计算时，numpy会自动做并行计算。Numpy底层使用C语言编写，内部解除了GIL（全局解释器锁），其对数组的操作速度不受Python解释器的限制，效率远高于纯Python代码。</w:t>
      </w:r>
    </w:p>
    <w:p>
      <w:pPr>
        <w:ind w:firstLine="480"/>
      </w:pPr>
      <w:r>
        <w:t>在实际编写代码的过程中，由于我们使用的数据类型比较一致，所以为了使得代码运行的效率更高，我们在多数时候使用Numpy进行数组的计算。</w:t>
      </w:r>
    </w:p>
    <w:p>
      <w:pPr>
        <w:pStyle w:val="37"/>
      </w:pPr>
      <w:bookmarkStart w:id="99" w:name="_Toc7858007"/>
      <w:r>
        <w:rPr>
          <w:rFonts w:hint="eastAsia"/>
        </w:rPr>
        <w:t>2.5.3  Matplotlib绘图工具库</w:t>
      </w:r>
      <w:bookmarkEnd w:id="99"/>
    </w:p>
    <w:p>
      <w:pPr>
        <w:ind w:firstLine="480"/>
      </w:pPr>
      <w:r>
        <w:rPr>
          <w:rFonts w:hint="eastAsia"/>
        </w:rPr>
        <w:t>Matplotlib是一个Python 2D绘图工具库，出于易用性的设计理念Matplotlib适用于各种结构数据、各种开发平台，可用于Python脚本，Python和IPython shell，Jupyter笔记本，Web应用程序服务器和四个图形用户界面工具包。Matplotlib 提供了方便的借口API，只需几行代码就可以生成高质量的绘图，例如直方图，功率谱，条形图，热力图图，散点图等。 其中的Pyplot模块提供了类似于MATLAB的界面，这让熟悉MATLAB的用户可以方便的过渡到Matplotlib中。</w:t>
      </w:r>
    </w:p>
    <w:p>
      <w:pPr>
        <w:ind w:firstLine="480"/>
      </w:pPr>
      <w:r>
        <w:rPr>
          <w:rFonts w:hint="eastAsia"/>
        </w:rPr>
        <w:t>本文中</w:t>
      </w:r>
      <w:r>
        <w:t>我们</w:t>
      </w:r>
      <w:r>
        <w:rPr>
          <w:rFonts w:hint="eastAsia"/>
        </w:rPr>
        <w:t>所有图都是利用Matplotlib绘图工具绘制完成，方便了分析过程中结果的直观展示。</w:t>
      </w:r>
    </w:p>
    <w:p>
      <w:pPr>
        <w:pStyle w:val="37"/>
      </w:pPr>
      <w:bookmarkStart w:id="100" w:name="_Toc7858008"/>
      <w:r>
        <w:rPr>
          <w:rFonts w:hint="eastAsia"/>
        </w:rPr>
        <w:t>2.5.4  Scikit-learn机器学习库</w:t>
      </w:r>
      <w:bookmarkEnd w:id="100"/>
    </w:p>
    <w:p>
      <w:pPr>
        <w:ind w:firstLine="480"/>
      </w:pPr>
      <w:r>
        <w:t>Scikit-learn是开源的Python机器学习库，它基于Numpy和Scipy，提供了大量用于数据挖掘和分析的工具，包括数据预处理、交叉验证、算法与可视化算法等一系列接口。</w:t>
      </w:r>
      <w:r>
        <w:br w:type="textWrapping"/>
      </w:r>
      <w:r>
        <w:t>Scikit-learn的基本功能主要被分为六个部分，分类，回归，聚类，数据降维，模型选择，数据预处理</w:t>
      </w:r>
      <w:r>
        <w:rPr>
          <w:rFonts w:hint="eastAsia"/>
        </w:rPr>
        <w:t>。</w:t>
      </w:r>
    </w:p>
    <w:p>
      <w:pPr>
        <w:ind w:firstLine="480"/>
      </w:pPr>
      <w:r>
        <w:rPr>
          <w:rFonts w:hint="eastAsia"/>
        </w:rPr>
        <w:t>从特征的预处理到最后的模型性能验证，它提供了简单的API，仅仅使用简单的几句代码即可轻松实现一整套的机器学习流程。</w:t>
      </w:r>
      <w:r>
        <w:t>Scikit-learn</w:t>
      </w:r>
      <w:r>
        <w:rPr>
          <w:rFonts w:hint="eastAsia"/>
        </w:rPr>
        <w:t>还有很强大的拓展性，包括与深度学习框架Keras的结合、吸收了最新的机器学习模型XGBoost并将其改造成方便调用的API。</w:t>
      </w:r>
      <w:r>
        <w:t>Scikit-learn</w:t>
      </w:r>
      <w:r>
        <w:rPr>
          <w:rFonts w:hint="eastAsia"/>
        </w:rPr>
        <w:t>的局限性是对大型数据并行化处理的欠缺，同时也不能够独立完成深度学习任务，但是对经典的机器学习任务有着很好的支持。</w:t>
      </w:r>
    </w:p>
    <w:p>
      <w:pPr>
        <w:pStyle w:val="40"/>
      </w:pPr>
      <w:bookmarkStart w:id="101" w:name="_Toc7858009"/>
      <w:r>
        <w:t>2.</w:t>
      </w:r>
      <w:r>
        <w:rPr>
          <w:rFonts w:hint="eastAsia"/>
        </w:rPr>
        <w:t>6</w:t>
      </w:r>
      <w:r>
        <w:t xml:space="preserve">  </w:t>
      </w:r>
      <w:r>
        <w:rPr>
          <w:rFonts w:hint="eastAsia"/>
        </w:rPr>
        <w:t>本章小结</w:t>
      </w:r>
      <w:bookmarkEnd w:id="101"/>
    </w:p>
    <w:p>
      <w:pPr>
        <w:ind w:firstLine="480"/>
      </w:pPr>
      <w:r>
        <w:t>本章主要介绍了论文研究中的技术背景，主要包括网络测量，模式挖掘的基本概念以及开发所采用的机器学习算法与模型，最后介绍了模型评估与开发平台，具体包括：</w:t>
      </w:r>
    </w:p>
    <w:p>
      <w:pPr>
        <w:pStyle w:val="38"/>
        <w:numPr>
          <w:ilvl w:val="0"/>
          <w:numId w:val="5"/>
        </w:numPr>
        <w:ind w:firstLineChars="0"/>
      </w:pPr>
      <w:r>
        <w:t>网络测量、模式挖掘的概念和特点；</w:t>
      </w:r>
    </w:p>
    <w:p>
      <w:pPr>
        <w:pStyle w:val="38"/>
        <w:numPr>
          <w:ilvl w:val="0"/>
          <w:numId w:val="5"/>
        </w:numPr>
        <w:ind w:firstLineChars="0"/>
      </w:pPr>
      <w:r>
        <w:t>论文中涉及的机器学习算法原理和模型性能的评估、度量方法；</w:t>
      </w:r>
    </w:p>
    <w:p>
      <w:pPr>
        <w:pStyle w:val="38"/>
        <w:numPr>
          <w:ilvl w:val="0"/>
          <w:numId w:val="5"/>
        </w:numPr>
        <w:ind w:firstLineChars="0"/>
      </w:pPr>
      <w:r>
        <w:t>模型的开发平台与使用的算法工具包</w:t>
      </w:r>
    </w:p>
    <w:p>
      <w:pPr>
        <w:pStyle w:val="29"/>
        <w:widowControl/>
        <w:adjustRightInd/>
        <w:snapToGrid/>
        <w:spacing w:line="240" w:lineRule="auto"/>
        <w:ind w:firstLine="0" w:firstLineChars="0"/>
        <w:jc w:val="left"/>
        <w:rPr>
          <w:sz w:val="24"/>
        </w:rPr>
        <w:sectPr>
          <w:headerReference r:id="rId16" w:type="default"/>
          <w:footerReference r:id="rId17" w:type="default"/>
          <w:pgSz w:w="11906" w:h="16838"/>
          <w:pgMar w:top="1701" w:right="1418" w:bottom="1418" w:left="1418" w:header="907" w:footer="851" w:gutter="0"/>
          <w:cols w:space="720" w:num="1"/>
          <w:formProt w:val="0"/>
          <w:docGrid w:type="lines" w:linePitch="312" w:charSpace="0"/>
        </w:sectPr>
      </w:pPr>
    </w:p>
    <w:p>
      <w:pPr>
        <w:pStyle w:val="41"/>
      </w:pPr>
      <w:bookmarkStart w:id="102" w:name="_Toc6320067"/>
      <w:bookmarkStart w:id="103" w:name="_Toc7858010"/>
      <w:r>
        <w:rPr>
          <w:szCs w:val="32"/>
        </w:rPr>
        <w:t xml:space="preserve">3  </w:t>
      </w:r>
      <w:r>
        <w:rPr>
          <w:rFonts w:hint="eastAsia"/>
          <w:szCs w:val="32"/>
        </w:rPr>
        <w:t>基站</w:t>
      </w:r>
      <w:r>
        <w:rPr>
          <w:szCs w:val="32"/>
        </w:rPr>
        <w:t>流量时空</w:t>
      </w:r>
      <w:bookmarkEnd w:id="102"/>
      <w:r>
        <w:rPr>
          <w:rFonts w:hint="eastAsia"/>
          <w:szCs w:val="32"/>
        </w:rPr>
        <w:t>分析</w:t>
      </w:r>
      <w:bookmarkEnd w:id="103"/>
    </w:p>
    <w:p>
      <w:pPr>
        <w:ind w:firstLine="480"/>
      </w:pPr>
      <w:r>
        <w:t>本章主要进行基站流量时空分布的</w:t>
      </w:r>
      <w:r>
        <w:rPr>
          <w:rFonts w:hint="eastAsia"/>
        </w:rPr>
        <w:t>统计</w:t>
      </w:r>
      <w:r>
        <w:t>与</w:t>
      </w:r>
      <w:r>
        <w:rPr>
          <w:rFonts w:hint="eastAsia"/>
        </w:rPr>
        <w:t>分析</w:t>
      </w:r>
      <w:r>
        <w:t>。本章首先详细介绍使用的数据集以及特征处理细节，然后</w:t>
      </w:r>
      <w:r>
        <w:rPr>
          <w:rFonts w:hint="eastAsia"/>
        </w:rPr>
        <w:t>统计基站流量数据并分析其空间分布特点</w:t>
      </w:r>
      <w:r>
        <w:t>。</w:t>
      </w:r>
      <w:r>
        <w:rPr>
          <w:rFonts w:hint="eastAsia"/>
        </w:rPr>
        <w:t>再从时间角度</w:t>
      </w:r>
      <w:r>
        <w:t>，</w:t>
      </w:r>
      <w:r>
        <w:rPr>
          <w:rFonts w:hint="eastAsia"/>
        </w:rPr>
        <w:t>我们</w:t>
      </w:r>
      <w:r>
        <w:t>总结</w:t>
      </w:r>
      <w:r>
        <w:rPr>
          <w:rFonts w:hint="eastAsia"/>
        </w:rPr>
        <w:t>了</w:t>
      </w:r>
      <w:r>
        <w:t>基站流量的增长和变化模式，并结合该地区的城市特点提出</w:t>
      </w:r>
      <w:r>
        <w:rPr>
          <w:rFonts w:hint="eastAsia"/>
        </w:rPr>
        <w:t>了</w:t>
      </w:r>
      <w:r>
        <w:t>合理解释。最后我们讨论了</w:t>
      </w:r>
      <w:r>
        <w:rPr>
          <w:rFonts w:hint="eastAsia"/>
        </w:rPr>
        <w:t>统计分析</w:t>
      </w:r>
      <w:r>
        <w:t>结果对后续研究的作用与意义。</w:t>
      </w:r>
    </w:p>
    <w:p>
      <w:pPr>
        <w:pStyle w:val="40"/>
      </w:pPr>
      <w:bookmarkStart w:id="104" w:name="_Toc7858011"/>
      <w:bookmarkStart w:id="105" w:name="_Toc6320068"/>
      <w:r>
        <w:t>3.</w:t>
      </w:r>
      <w:r>
        <w:rPr>
          <w:rFonts w:hint="eastAsia"/>
        </w:rPr>
        <w:t xml:space="preserve">1  </w:t>
      </w:r>
      <w:r>
        <w:t>数据集介绍与预处理</w:t>
      </w:r>
      <w:bookmarkEnd w:id="104"/>
      <w:bookmarkEnd w:id="105"/>
    </w:p>
    <w:p>
      <w:pPr>
        <w:overflowPunct w:val="0"/>
        <w:snapToGrid/>
        <w:ind w:firstLine="480"/>
      </w:pPr>
      <w:r>
        <w:t>本文研究所用数据集由国内某运营商部署在中国某发达城市的基站收集汇总，提供从2018年7月至次年3月份（包括7、9、11月份以及次年2、3月份）所有基站按月汇聚的流量使用数据。数据记录了7110个基站按月汇总的数据，包括了基站的月度总流量，以及各种详细类目的流量使用情况。下表</w:t>
      </w:r>
      <w:r>
        <w:rPr>
          <w:rFonts w:hint="eastAsia"/>
        </w:rPr>
        <w:t>3-1</w:t>
      </w:r>
      <w:r>
        <w:t>为使用部分的示例数据。</w:t>
      </w:r>
    </w:p>
    <w:p>
      <w:pPr>
        <w:spacing w:before="156" w:beforeLines="50" w:line="240" w:lineRule="auto"/>
        <w:ind w:firstLine="0" w:firstLineChars="0"/>
        <w:jc w:val="center"/>
        <w:rPr>
          <w:sz w:val="21"/>
          <w:szCs w:val="21"/>
        </w:rPr>
      </w:pPr>
      <w:r>
        <w:rPr>
          <w:rFonts w:hint="eastAsia"/>
          <w:sz w:val="21"/>
          <w:szCs w:val="21"/>
        </w:rPr>
        <w:t>表3</w:t>
      </w:r>
      <w:r>
        <w:rPr>
          <w:sz w:val="21"/>
          <w:szCs w:val="21"/>
        </w:rPr>
        <w:t xml:space="preserve">-1 </w:t>
      </w:r>
      <w:r>
        <w:rPr>
          <w:rFonts w:hint="eastAsia"/>
          <w:sz w:val="21"/>
          <w:szCs w:val="21"/>
        </w:rPr>
        <w:t>基站特征</w:t>
      </w:r>
    </w:p>
    <w:p>
      <w:pPr>
        <w:spacing w:after="156" w:afterLines="50" w:line="240" w:lineRule="auto"/>
        <w:ind w:firstLine="0" w:firstLineChars="0"/>
        <w:jc w:val="center"/>
        <w:rPr>
          <w:sz w:val="21"/>
          <w:szCs w:val="21"/>
        </w:rPr>
      </w:pPr>
      <w:r>
        <w:rPr>
          <w:sz w:val="21"/>
          <w:szCs w:val="21"/>
        </w:rPr>
        <w:t>Table 3-</w:t>
      </w:r>
      <w:r>
        <w:rPr>
          <w:rFonts w:hint="eastAsia"/>
          <w:sz w:val="21"/>
          <w:szCs w:val="21"/>
        </w:rPr>
        <w:t>1 Feature Item of Base Station</w:t>
      </w:r>
    </w:p>
    <w:tbl>
      <w:tblPr>
        <w:tblStyle w:val="24"/>
        <w:tblW w:w="9286" w:type="dxa"/>
        <w:tblInd w:w="0" w:type="dxa"/>
        <w:tblLayout w:type="fixed"/>
        <w:tblCellMar>
          <w:top w:w="0" w:type="dxa"/>
          <w:left w:w="108" w:type="dxa"/>
          <w:bottom w:w="0" w:type="dxa"/>
          <w:right w:w="108" w:type="dxa"/>
        </w:tblCellMar>
      </w:tblPr>
      <w:tblGrid>
        <w:gridCol w:w="4643"/>
        <w:gridCol w:w="4643"/>
      </w:tblGrid>
      <w:tr>
        <w:tblPrEx>
          <w:tblLayout w:type="fixed"/>
          <w:tblCellMar>
            <w:top w:w="0" w:type="dxa"/>
            <w:left w:w="108" w:type="dxa"/>
            <w:bottom w:w="0" w:type="dxa"/>
            <w:right w:w="108" w:type="dxa"/>
          </w:tblCellMar>
        </w:tblPrEx>
        <w:tc>
          <w:tcPr>
            <w:tcW w:w="4643" w:type="dxa"/>
            <w:tcBorders>
              <w:top w:val="single" w:color="auto" w:sz="12" w:space="0"/>
              <w:bottom w:val="single" w:color="auto" w:sz="4" w:space="0"/>
            </w:tcBorders>
            <w:shd w:val="clear" w:color="auto" w:fill="auto"/>
          </w:tcPr>
          <w:p>
            <w:pPr>
              <w:ind w:firstLine="480"/>
              <w:jc w:val="center"/>
              <w:rPr>
                <w:caps/>
                <w:kern w:val="0"/>
              </w:rPr>
            </w:pPr>
            <w:r>
              <w:rPr>
                <w:caps/>
                <w:kern w:val="0"/>
              </w:rPr>
              <w:t>特征</w:t>
            </w:r>
          </w:p>
        </w:tc>
        <w:tc>
          <w:tcPr>
            <w:tcW w:w="4643" w:type="dxa"/>
            <w:tcBorders>
              <w:top w:val="single" w:color="auto" w:sz="12" w:space="0"/>
              <w:bottom w:val="single" w:color="auto" w:sz="4" w:space="0"/>
            </w:tcBorders>
            <w:shd w:val="clear" w:color="auto" w:fill="auto"/>
          </w:tcPr>
          <w:p>
            <w:pPr>
              <w:ind w:firstLine="480"/>
              <w:jc w:val="center"/>
              <w:rPr>
                <w:caps/>
                <w:kern w:val="0"/>
              </w:rPr>
            </w:pPr>
            <w:r>
              <w:rPr>
                <w:caps/>
                <w:kern w:val="0"/>
              </w:rPr>
              <w:t>数值</w:t>
            </w:r>
          </w:p>
        </w:tc>
      </w:tr>
      <w:tr>
        <w:tblPrEx>
          <w:tblLayout w:type="fixed"/>
          <w:tblCellMar>
            <w:top w:w="0" w:type="dxa"/>
            <w:left w:w="108" w:type="dxa"/>
            <w:bottom w:w="0" w:type="dxa"/>
            <w:right w:w="108" w:type="dxa"/>
          </w:tblCellMar>
        </w:tblPrEx>
        <w:tc>
          <w:tcPr>
            <w:tcW w:w="4643" w:type="dxa"/>
            <w:tcBorders>
              <w:top w:val="single" w:color="auto" w:sz="4" w:space="0"/>
            </w:tcBorders>
            <w:shd w:val="clear" w:color="auto" w:fill="auto"/>
          </w:tcPr>
          <w:p>
            <w:pPr>
              <w:ind w:firstLine="480"/>
              <w:jc w:val="center"/>
              <w:rPr>
                <w:kern w:val="0"/>
              </w:rPr>
            </w:pPr>
            <w:r>
              <w:rPr>
                <w:caps/>
                <w:kern w:val="0"/>
                <w:lang w:bidi="ar"/>
              </w:rPr>
              <w:t>基站序号</w:t>
            </w:r>
          </w:p>
        </w:tc>
        <w:tc>
          <w:tcPr>
            <w:tcW w:w="4643" w:type="dxa"/>
            <w:tcBorders>
              <w:top w:val="single" w:color="auto" w:sz="4" w:space="0"/>
            </w:tcBorders>
            <w:shd w:val="clear" w:color="auto" w:fill="auto"/>
          </w:tcPr>
          <w:p>
            <w:pPr>
              <w:ind w:firstLine="480"/>
              <w:jc w:val="center"/>
              <w:rPr>
                <w:kern w:val="0"/>
              </w:rPr>
            </w:pPr>
            <w:r>
              <w:rPr>
                <w:caps/>
                <w:kern w:val="0"/>
                <w:lang w:bidi="ar"/>
              </w:rPr>
              <w:t>A1</w:t>
            </w:r>
          </w:p>
        </w:tc>
      </w:tr>
      <w:tr>
        <w:tblPrEx>
          <w:tblLayout w:type="fixed"/>
          <w:tblCellMar>
            <w:top w:w="0" w:type="dxa"/>
            <w:left w:w="108" w:type="dxa"/>
            <w:bottom w:w="0" w:type="dxa"/>
            <w:right w:w="108" w:type="dxa"/>
          </w:tblCellMar>
        </w:tblPrEx>
        <w:tc>
          <w:tcPr>
            <w:tcW w:w="4643" w:type="dxa"/>
            <w:shd w:val="clear" w:color="auto" w:fill="auto"/>
          </w:tcPr>
          <w:p>
            <w:pPr>
              <w:ind w:firstLine="480"/>
              <w:jc w:val="center"/>
              <w:rPr>
                <w:kern w:val="0"/>
              </w:rPr>
            </w:pPr>
            <w:r>
              <w:rPr>
                <w:caps/>
                <w:kern w:val="0"/>
              </w:rPr>
              <w:t>宫格名称</w:t>
            </w:r>
          </w:p>
        </w:tc>
        <w:tc>
          <w:tcPr>
            <w:tcW w:w="4643" w:type="dxa"/>
            <w:shd w:val="clear" w:color="auto" w:fill="auto"/>
          </w:tcPr>
          <w:p>
            <w:pPr>
              <w:ind w:firstLine="480"/>
              <w:jc w:val="center"/>
              <w:rPr>
                <w:kern w:val="0"/>
              </w:rPr>
            </w:pPr>
            <w:r>
              <w:rPr>
                <w:kern w:val="0"/>
              </w:rPr>
              <w:t>XX市高级中学</w:t>
            </w:r>
          </w:p>
        </w:tc>
      </w:tr>
      <w:tr>
        <w:tblPrEx>
          <w:tblLayout w:type="fixed"/>
          <w:tblCellMar>
            <w:top w:w="0" w:type="dxa"/>
            <w:left w:w="108" w:type="dxa"/>
            <w:bottom w:w="0" w:type="dxa"/>
            <w:right w:w="108" w:type="dxa"/>
          </w:tblCellMar>
        </w:tblPrEx>
        <w:tc>
          <w:tcPr>
            <w:tcW w:w="4643" w:type="dxa"/>
            <w:shd w:val="clear" w:color="auto" w:fill="auto"/>
          </w:tcPr>
          <w:p>
            <w:pPr>
              <w:ind w:firstLine="480"/>
              <w:jc w:val="center"/>
              <w:rPr>
                <w:caps/>
                <w:kern w:val="0"/>
                <w:lang w:bidi="ar"/>
              </w:rPr>
            </w:pPr>
            <w:r>
              <w:rPr>
                <w:caps/>
                <w:kern w:val="0"/>
              </w:rPr>
              <w:t>总流量MB</w:t>
            </w:r>
          </w:p>
        </w:tc>
        <w:tc>
          <w:tcPr>
            <w:tcW w:w="4643" w:type="dxa"/>
            <w:shd w:val="clear" w:color="auto" w:fill="auto"/>
          </w:tcPr>
          <w:p>
            <w:pPr>
              <w:ind w:firstLine="480"/>
              <w:jc w:val="center"/>
              <w:rPr>
                <w:kern w:val="0"/>
                <w:lang w:bidi="ar"/>
              </w:rPr>
            </w:pPr>
            <w:r>
              <w:rPr>
                <w:kern w:val="0"/>
              </w:rPr>
              <w:t>363212</w:t>
            </w:r>
          </w:p>
        </w:tc>
      </w:tr>
      <w:tr>
        <w:tblPrEx>
          <w:tblLayout w:type="fixed"/>
          <w:tblCellMar>
            <w:top w:w="0" w:type="dxa"/>
            <w:left w:w="108" w:type="dxa"/>
            <w:bottom w:w="0" w:type="dxa"/>
            <w:right w:w="108" w:type="dxa"/>
          </w:tblCellMar>
        </w:tblPrEx>
        <w:tc>
          <w:tcPr>
            <w:tcW w:w="4643" w:type="dxa"/>
            <w:shd w:val="clear" w:color="auto" w:fill="auto"/>
          </w:tcPr>
          <w:p>
            <w:pPr>
              <w:ind w:firstLine="480"/>
              <w:jc w:val="center"/>
              <w:rPr>
                <w:caps/>
                <w:kern w:val="0"/>
                <w:lang w:bidi="ar"/>
              </w:rPr>
            </w:pPr>
            <w:r>
              <w:rPr>
                <w:caps/>
                <w:kern w:val="0"/>
              </w:rPr>
              <w:t>经度</w:t>
            </w:r>
          </w:p>
        </w:tc>
        <w:tc>
          <w:tcPr>
            <w:tcW w:w="4643" w:type="dxa"/>
            <w:shd w:val="clear" w:color="auto" w:fill="auto"/>
          </w:tcPr>
          <w:p>
            <w:pPr>
              <w:ind w:firstLine="480"/>
              <w:jc w:val="center"/>
              <w:rPr>
                <w:kern w:val="0"/>
                <w:lang w:bidi="ar"/>
              </w:rPr>
            </w:pPr>
            <w:r>
              <w:rPr>
                <w:kern w:val="0"/>
              </w:rPr>
              <w:t>E xx°xx′1.72″</w:t>
            </w:r>
          </w:p>
        </w:tc>
      </w:tr>
      <w:tr>
        <w:tblPrEx>
          <w:tblLayout w:type="fixed"/>
          <w:tblCellMar>
            <w:top w:w="0" w:type="dxa"/>
            <w:left w:w="108" w:type="dxa"/>
            <w:bottom w:w="0" w:type="dxa"/>
            <w:right w:w="108" w:type="dxa"/>
          </w:tblCellMar>
        </w:tblPrEx>
        <w:tc>
          <w:tcPr>
            <w:tcW w:w="4643" w:type="dxa"/>
            <w:shd w:val="clear" w:color="auto" w:fill="auto"/>
          </w:tcPr>
          <w:p>
            <w:pPr>
              <w:ind w:firstLine="480"/>
              <w:jc w:val="center"/>
              <w:rPr>
                <w:caps/>
                <w:kern w:val="0"/>
                <w:lang w:bidi="ar"/>
              </w:rPr>
            </w:pPr>
            <w:r>
              <w:rPr>
                <w:caps/>
                <w:kern w:val="0"/>
                <w:lang w:bidi="ar"/>
              </w:rPr>
              <w:t>纬度</w:t>
            </w:r>
          </w:p>
        </w:tc>
        <w:tc>
          <w:tcPr>
            <w:tcW w:w="4643" w:type="dxa"/>
            <w:shd w:val="clear" w:color="auto" w:fill="auto"/>
          </w:tcPr>
          <w:p>
            <w:pPr>
              <w:ind w:firstLine="480"/>
              <w:jc w:val="center"/>
              <w:rPr>
                <w:kern w:val="0"/>
                <w:lang w:bidi="ar"/>
              </w:rPr>
            </w:pPr>
            <w:r>
              <w:rPr>
                <w:kern w:val="0"/>
              </w:rPr>
              <w:t>N xx°xx′35.39″</w:t>
            </w:r>
          </w:p>
        </w:tc>
      </w:tr>
      <w:tr>
        <w:tblPrEx>
          <w:tblLayout w:type="fixed"/>
          <w:tblCellMar>
            <w:top w:w="0" w:type="dxa"/>
            <w:left w:w="108" w:type="dxa"/>
            <w:bottom w:w="0" w:type="dxa"/>
            <w:right w:w="108" w:type="dxa"/>
          </w:tblCellMar>
        </w:tblPrEx>
        <w:tc>
          <w:tcPr>
            <w:tcW w:w="4643" w:type="dxa"/>
            <w:tcBorders>
              <w:bottom w:val="single" w:color="auto" w:sz="12" w:space="0"/>
            </w:tcBorders>
            <w:shd w:val="clear" w:color="auto" w:fill="auto"/>
          </w:tcPr>
          <w:p>
            <w:pPr>
              <w:ind w:firstLine="480"/>
              <w:jc w:val="center"/>
              <w:rPr>
                <w:caps/>
                <w:kern w:val="0"/>
                <w:lang w:bidi="ar"/>
              </w:rPr>
            </w:pPr>
            <w:r>
              <w:rPr>
                <w:caps/>
                <w:kern w:val="0"/>
                <w:lang w:bidi="ar"/>
              </w:rPr>
              <w:t>月份</w:t>
            </w:r>
          </w:p>
        </w:tc>
        <w:tc>
          <w:tcPr>
            <w:tcW w:w="4643" w:type="dxa"/>
            <w:tcBorders>
              <w:bottom w:val="single" w:color="auto" w:sz="12" w:space="0"/>
            </w:tcBorders>
            <w:shd w:val="clear" w:color="auto" w:fill="auto"/>
          </w:tcPr>
          <w:p>
            <w:pPr>
              <w:ind w:firstLine="480"/>
              <w:jc w:val="center"/>
              <w:rPr>
                <w:kern w:val="0"/>
                <w:lang w:bidi="ar"/>
              </w:rPr>
            </w:pPr>
            <w:r>
              <w:rPr>
                <w:kern w:val="0"/>
              </w:rPr>
              <w:t>7月</w:t>
            </w:r>
          </w:p>
        </w:tc>
      </w:tr>
    </w:tbl>
    <w:p>
      <w:pPr>
        <w:spacing w:before="156" w:beforeLines="50"/>
        <w:ind w:firstLine="480"/>
        <w:rPr>
          <w:lang w:val="zh-CN"/>
        </w:rPr>
      </w:pPr>
      <w:r>
        <w:t>“宫格”的空间粒度适中，运营商也主要以此粒度制定商业政策，所以本文选择该粒度作为分析特征。“宫格名称”表示的是基站所处宫格的地理名称，“宫格”是运营商对目标空间的划分单位，在它的下级划分单位是“网格”。它的主要特征是在每一个宫格内所有活动都有逻辑的关联性，比如在商业区划分的一个宫格，在该范围内的活动往往都与商业活动相关。为了分析的需要，我们将每个宫格分配一个独立的基站，也即将少数处在同一个宫格的基站选择其中流量最高的一个。对于同一个宫格内</w:t>
      </w:r>
      <w:r>
        <w:rPr>
          <w:lang w:val="zh-CN"/>
        </w:rPr>
        <w:t>存在冗余和冲突的流量日志以及基站位置信息不完整，</w:t>
      </w:r>
      <w:r>
        <w:t>我们进行了去重处理</w:t>
      </w:r>
      <w:r>
        <w:rPr>
          <w:lang w:val="zh-CN"/>
        </w:rPr>
        <w:t>。</w:t>
      </w:r>
    </w:p>
    <w:p>
      <w:pPr>
        <w:ind w:firstLine="480"/>
      </w:pPr>
      <w:r>
        <w:t>预处理主要包括两个部分：</w:t>
      </w:r>
    </w:p>
    <w:p>
      <w:pPr>
        <w:ind w:firstLine="480" w:firstLineChars="0"/>
      </w:pPr>
      <w:r>
        <w:t>(1) 数据预处理过程：主要包括两个步骤：首先，消除技术问题导致的冗余日志和冲突基站流量记录；其次，由于不同位置的基站流量差异较大，为了凸显出基站网络流量自身变化特征，我们对每个基站流量做归一化处理。</w:t>
      </w:r>
    </w:p>
    <w:p>
      <w:pPr>
        <w:ind w:firstLine="480" w:firstLineChars="0"/>
      </w:pPr>
      <w:r>
        <w:rPr>
          <w:rFonts w:hint="eastAsia"/>
        </w:rPr>
        <w:t>(</w:t>
      </w:r>
      <w:r>
        <w:t>2) 空间划分：我们使用Voronoi图划分该市占地空间，确定每个基站所能够影响的区块。Voronoi图在基站分析时候经常使用，它的含义是两基站的分界线是两点之间连线的铅直等分线，将全平面分为两个</w:t>
      </w:r>
      <w:r>
        <w:fldChar w:fldCharType="begin"/>
      </w:r>
      <w:r>
        <w:instrText xml:space="preserve"> HYPERLINK "http://baike.baidu.com/view/845189.htm" \t "http://blog.sina.com.cn/s/_blank" </w:instrText>
      </w:r>
      <w:r>
        <w:fldChar w:fldCharType="separate"/>
      </w:r>
      <w:r>
        <w:t>半平面</w:t>
      </w:r>
      <w:r>
        <w:fldChar w:fldCharType="end"/>
      </w:r>
      <w:r>
        <w:t>，各半平面中任何一点与本半平面内基站的间隔都要比到另一基站间隔小。当基站数量在二个以上时，全平面会划分为多个包罗一个基站的区域，区域中任何一点都与本区域内基站间隔最近，所以这些个区域可以看作是基站的覆盖区域。</w:t>
      </w:r>
    </w:p>
    <w:p>
      <w:pPr>
        <w:pStyle w:val="40"/>
      </w:pPr>
      <w:bookmarkStart w:id="106" w:name="_Toc6320069"/>
      <w:bookmarkStart w:id="107" w:name="_Toc7858012"/>
      <w:r>
        <w:t>3.2</w:t>
      </w:r>
      <w:r>
        <w:rPr>
          <w:rFonts w:hint="eastAsia"/>
        </w:rPr>
        <w:t xml:space="preserve">  基站流量的</w:t>
      </w:r>
      <w:r>
        <w:t>空间</w:t>
      </w:r>
      <w:bookmarkEnd w:id="106"/>
      <w:r>
        <w:rPr>
          <w:rFonts w:hint="eastAsia"/>
        </w:rPr>
        <w:t>分析</w:t>
      </w:r>
      <w:bookmarkEnd w:id="107"/>
    </w:p>
    <w:p>
      <w:pPr>
        <w:ind w:firstLine="480"/>
      </w:pPr>
      <w:r>
        <w:t>本小节主要</w:t>
      </w:r>
      <w:r>
        <w:rPr>
          <w:rFonts w:hint="eastAsia"/>
        </w:rPr>
        <w:t>统计分析</w:t>
      </w:r>
      <w:r>
        <w:t>该市基站流量</w:t>
      </w:r>
      <w:r>
        <w:rPr>
          <w:rFonts w:hint="eastAsia"/>
        </w:rPr>
        <w:t>的</w:t>
      </w:r>
      <w:r>
        <w:t>空间分布。由于该市占地广阔，市中心与周围地区基站</w:t>
      </w:r>
      <w:r>
        <w:rPr>
          <w:rFonts w:hint="eastAsia"/>
        </w:rPr>
        <w:t>之间</w:t>
      </w:r>
      <w:r>
        <w:t>差异明显，我们分别从全市和市中心两个范围对基站流量进行统计</w:t>
      </w:r>
      <w:r>
        <w:rPr>
          <w:rFonts w:hint="eastAsia"/>
        </w:rPr>
        <w:t>分析</w:t>
      </w:r>
      <w:r>
        <w:t>。我们将每个基站各月份的流量相加，获得该基站的流量使用总和，分析了基站流量的空间分布情况、区块面积的分布情况、流量密度的分布情况，最后以</w:t>
      </w:r>
      <w:bookmarkStart w:id="108" w:name="OLE_LINK69"/>
      <w:bookmarkStart w:id="109" w:name="OLE_LINK68"/>
      <w:r>
        <w:t>Voronoi</w:t>
      </w:r>
      <w:bookmarkEnd w:id="108"/>
      <w:bookmarkEnd w:id="109"/>
      <w:r>
        <w:rPr>
          <w:vertAlign w:val="superscript"/>
        </w:rPr>
        <w:t>[</w:t>
      </w:r>
      <w:r>
        <w:rPr>
          <w:vertAlign w:val="superscript"/>
        </w:rPr>
        <w:fldChar w:fldCharType="begin"/>
      </w:r>
      <w:r>
        <w:rPr>
          <w:vertAlign w:val="superscript"/>
        </w:rPr>
        <w:instrText xml:space="preserve"> REF BIB_suri2016most \h \* MERGEFORMAT </w:instrText>
      </w:r>
      <w:r>
        <w:rPr>
          <w:vertAlign w:val="superscript"/>
        </w:rPr>
        <w:fldChar w:fldCharType="separate"/>
      </w:r>
      <w:r>
        <w:rPr>
          <w:vertAlign w:val="superscript"/>
        </w:rPr>
        <w:t>39</w:t>
      </w:r>
      <w:r>
        <w:rPr>
          <w:vertAlign w:val="superscript"/>
        </w:rPr>
        <w:fldChar w:fldCharType="end"/>
      </w:r>
      <w:r>
        <w:rPr>
          <w:vertAlign w:val="superscript"/>
        </w:rPr>
        <w:t>]</w:t>
      </w:r>
      <w:r>
        <w:t>图划分的基站区块绘制流量热力图直观展示流量空间分布</w:t>
      </w:r>
      <w:r>
        <w:rPr>
          <w:rFonts w:hint="eastAsia"/>
        </w:rPr>
        <w:t>的差异性</w:t>
      </w:r>
      <w:r>
        <w:t>。</w:t>
      </w:r>
    </w:p>
    <w:p>
      <w:pPr>
        <w:pStyle w:val="37"/>
      </w:pPr>
      <w:bookmarkStart w:id="110" w:name="_Toc6320070"/>
      <w:bookmarkStart w:id="111" w:name="_Toc7858013"/>
      <w:r>
        <w:t>3.2.1  全市范围空间</w:t>
      </w:r>
      <w:bookmarkEnd w:id="110"/>
      <w:r>
        <w:rPr>
          <w:rFonts w:hint="eastAsia"/>
        </w:rPr>
        <w:t>分析</w:t>
      </w:r>
      <w:bookmarkEnd w:id="111"/>
      <w:bookmarkStart w:id="112" w:name="OLE_LINK13"/>
    </w:p>
    <w:p>
      <w:pPr>
        <w:ind w:firstLine="480"/>
      </w:pPr>
      <w:r>
        <w:drawing>
          <wp:anchor distT="0" distB="0" distL="114300" distR="114300" simplePos="0" relativeHeight="251652096" behindDoc="0" locked="0" layoutInCell="1" allowOverlap="1">
            <wp:simplePos x="0" y="0"/>
            <wp:positionH relativeFrom="column">
              <wp:posOffset>233045</wp:posOffset>
            </wp:positionH>
            <wp:positionV relativeFrom="paragraph">
              <wp:posOffset>1077595</wp:posOffset>
            </wp:positionV>
            <wp:extent cx="5292725" cy="2463800"/>
            <wp:effectExtent l="0" t="0" r="3175" b="0"/>
            <wp:wrapTopAndBottom/>
            <wp:docPr id="8" name="图片 8" descr="C:\Users\su\Desktop\大论文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u\Desktop\大论文图片\1.jpg"/>
                    <pic:cNvPicPr>
                      <a:picLocks noChangeAspect="1" noChangeArrowheads="1"/>
                    </pic:cNvPicPr>
                  </pic:nvPicPr>
                  <pic:blipFill>
                    <a:blip r:embed="rId44" cstate="print">
                      <a:extLst>
                        <a:ext uri="{28A0092B-C50C-407E-A947-70E740481C1C}">
                          <a14:useLocalDpi xmlns:a14="http://schemas.microsoft.com/office/drawing/2010/main" val="0"/>
                        </a:ext>
                      </a:extLst>
                    </a:blip>
                    <a:srcRect t="5334"/>
                    <a:stretch>
                      <a:fillRect/>
                    </a:stretch>
                  </pic:blipFill>
                  <pic:spPr>
                    <a:xfrm>
                      <a:off x="0" y="0"/>
                      <a:ext cx="5292725" cy="2463800"/>
                    </a:xfrm>
                    <a:prstGeom prst="rect">
                      <a:avLst/>
                    </a:prstGeom>
                    <a:noFill/>
                    <a:ln>
                      <a:noFill/>
                    </a:ln>
                  </pic:spPr>
                </pic:pic>
              </a:graphicData>
            </a:graphic>
          </wp:anchor>
        </w:drawing>
      </w:r>
      <w:r>
        <w:t xml:space="preserve">(1) </w:t>
      </w:r>
      <w:r>
        <w:rPr>
          <w:rFonts w:hint="eastAsia"/>
        </w:rPr>
        <w:t>全市基站流量分布</w:t>
      </w:r>
      <w:bookmarkEnd w:id="112"/>
      <w:r>
        <w:rPr>
          <w:rFonts w:hint="eastAsia"/>
        </w:rPr>
        <w:t>：其特点是大部分基站处于低流量区间，基站之间的流量极差大。我们对全市基站的基站流量情况做了统计，为了突出分布的偏度，我们将</w:t>
      </w:r>
      <w:bookmarkStart w:id="113" w:name="OLE_LINK71"/>
      <w:bookmarkStart w:id="114" w:name="OLE_LINK70"/>
      <w:r>
        <w:rPr>
          <w:rFonts w:hint="eastAsia"/>
        </w:rPr>
        <w:t>P</w:t>
      </w:r>
      <w:r>
        <w:t>DF</w:t>
      </w:r>
      <w:r>
        <w:rPr>
          <w:rFonts w:hint="eastAsia"/>
        </w:rPr>
        <w:t>图的Y轴和</w:t>
      </w:r>
      <w:r>
        <w:t>CDF</w:t>
      </w:r>
      <w:bookmarkEnd w:id="113"/>
      <w:bookmarkEnd w:id="114"/>
      <w:r>
        <w:rPr>
          <w:vertAlign w:val="superscript"/>
        </w:rPr>
        <w:t>[</w:t>
      </w:r>
      <w:r>
        <w:rPr>
          <w:vertAlign w:val="superscript"/>
        </w:rPr>
        <w:fldChar w:fldCharType="begin"/>
      </w:r>
      <w:r>
        <w:rPr>
          <w:vertAlign w:val="superscript"/>
        </w:rPr>
        <w:instrText xml:space="preserve"> REF BIB_monti1995folded \h \* MERGEFORMAT </w:instrText>
      </w:r>
      <w:r>
        <w:rPr>
          <w:vertAlign w:val="superscript"/>
        </w:rPr>
        <w:fldChar w:fldCharType="separate"/>
      </w:r>
      <w:r>
        <w:rPr>
          <w:vertAlign w:val="superscript"/>
        </w:rPr>
        <w:t>40</w:t>
      </w:r>
      <w:r>
        <w:rPr>
          <w:vertAlign w:val="superscript"/>
        </w:rPr>
        <w:fldChar w:fldCharType="end"/>
      </w:r>
      <w:r>
        <w:rPr>
          <w:vertAlign w:val="superscript"/>
        </w:rPr>
        <w:t>]</w:t>
      </w:r>
      <w:r>
        <w:rPr>
          <w:rFonts w:hint="eastAsia"/>
        </w:rPr>
        <w:t>图的X轴调整为对数表示，下文亦做此处理。具体情况如图3-1所示。</w:t>
      </w:r>
    </w:p>
    <w:p>
      <w:pPr>
        <w:spacing w:before="156" w:beforeLines="50" w:line="240" w:lineRule="auto"/>
        <w:ind w:firstLine="420"/>
        <w:jc w:val="center"/>
        <w:rPr>
          <w:sz w:val="21"/>
          <w:szCs w:val="21"/>
        </w:rPr>
      </w:pPr>
      <w:r>
        <w:rPr>
          <w:rFonts w:hint="eastAsia"/>
          <w:sz w:val="21"/>
          <w:szCs w:val="21"/>
        </w:rPr>
        <w:t>图</w:t>
      </w:r>
      <w:r>
        <w:rPr>
          <w:sz w:val="21"/>
          <w:szCs w:val="21"/>
        </w:rPr>
        <w:t>3-</w:t>
      </w:r>
      <w:r>
        <w:rPr>
          <w:rFonts w:hint="eastAsia"/>
          <w:sz w:val="21"/>
          <w:szCs w:val="21"/>
        </w:rPr>
        <w:t>1</w:t>
      </w:r>
      <w:r>
        <w:rPr>
          <w:sz w:val="21"/>
          <w:szCs w:val="21"/>
        </w:rPr>
        <w:t xml:space="preserve"> </w:t>
      </w:r>
      <w:r>
        <w:rPr>
          <w:rFonts w:hint="eastAsia"/>
          <w:sz w:val="21"/>
          <w:szCs w:val="21"/>
        </w:rPr>
        <w:t>全市基站流量分布</w:t>
      </w:r>
    </w:p>
    <w:p>
      <w:pPr>
        <w:spacing w:before="156" w:beforeLines="50" w:line="240" w:lineRule="auto"/>
        <w:ind w:firstLine="420"/>
        <w:jc w:val="center"/>
        <w:rPr>
          <w:sz w:val="21"/>
          <w:szCs w:val="21"/>
        </w:rPr>
      </w:pPr>
      <w:r>
        <w:rPr>
          <w:rFonts w:hint="eastAsia"/>
          <w:sz w:val="21"/>
          <w:szCs w:val="21"/>
        </w:rPr>
        <w:t>Figure 3-1 Traffic Distribution of Base Stations in the City</w:t>
      </w:r>
    </w:p>
    <w:p>
      <w:pPr>
        <w:spacing w:before="156" w:beforeLines="50"/>
        <w:ind w:firstLine="480"/>
      </w:pPr>
      <w:r>
        <w:rPr>
          <w:rFonts w:hint="eastAsia"/>
        </w:rPr>
        <w:t>图3-1中图(</w:t>
      </w:r>
      <w:r>
        <w:t>a)</w:t>
      </w:r>
      <w:r>
        <w:rPr>
          <w:rFonts w:hint="eastAsia"/>
        </w:rPr>
        <w:t>、</w:t>
      </w:r>
      <w:r>
        <w:t>(b)</w:t>
      </w:r>
      <w:r>
        <w:rPr>
          <w:rFonts w:hint="eastAsia"/>
        </w:rPr>
        <w:t>分别显示了基站流量的PDF和CDF</w:t>
      </w:r>
      <w:r>
        <w:rPr>
          <w:vertAlign w:val="superscript"/>
        </w:rPr>
        <w:t>[</w:t>
      </w:r>
      <w:r>
        <w:rPr>
          <w:vertAlign w:val="superscript"/>
        </w:rPr>
        <w:fldChar w:fldCharType="begin"/>
      </w:r>
      <w:r>
        <w:rPr>
          <w:vertAlign w:val="superscript"/>
        </w:rPr>
        <w:instrText xml:space="preserve"> REF BIB_ord1972families \h \* MERGEFORMAT </w:instrText>
      </w:r>
      <w:r>
        <w:rPr>
          <w:vertAlign w:val="superscript"/>
        </w:rPr>
        <w:fldChar w:fldCharType="separate"/>
      </w:r>
      <w:r>
        <w:rPr>
          <w:vertAlign w:val="superscript"/>
        </w:rPr>
        <w:t>41</w:t>
      </w:r>
      <w:r>
        <w:rPr>
          <w:vertAlign w:val="superscript"/>
        </w:rPr>
        <w:fldChar w:fldCharType="end"/>
      </w:r>
      <w:r>
        <w:rPr>
          <w:vertAlign w:val="superscript"/>
        </w:rPr>
        <w:t>]</w:t>
      </w:r>
      <w:r>
        <w:rPr>
          <w:rFonts w:hint="eastAsia"/>
        </w:rPr>
        <w:t>。在(</w:t>
      </w:r>
      <w:r>
        <w:t>a)</w:t>
      </w:r>
      <w:r>
        <w:rPr>
          <w:rFonts w:hint="eastAsia"/>
        </w:rPr>
        <w:t>图中，随着流量使用量的上升基站数目会迅速减小，同时在两个流量极高的区间仍有基站分布，最高流量使用量达到了2.76×10</w:t>
      </w:r>
      <w:r>
        <w:rPr>
          <w:vertAlign w:val="superscript"/>
        </w:rPr>
        <w:t>6</w:t>
      </w:r>
      <w:r>
        <w:rPr>
          <w:rFonts w:hint="eastAsia"/>
        </w:rPr>
        <w:t xml:space="preserve"> MB。由于图中纵坐标为对数表示，图中所显示的线性减少现象对应基站流量使用量的PDF呈类对数分布，大部分基站处于低流量区间。在(b)图中，50%的基站流量是低于3.</w:t>
      </w:r>
      <w:r>
        <w:t>69</w:t>
      </w:r>
      <w:r>
        <w:rPr>
          <w:rFonts w:hint="eastAsia"/>
        </w:rPr>
        <w:t>×10</w:t>
      </w:r>
      <w:r>
        <w:rPr>
          <w:vertAlign w:val="superscript"/>
        </w:rPr>
        <w:t>4</w:t>
      </w:r>
      <w:r>
        <w:rPr>
          <w:rFonts w:hint="eastAsia"/>
        </w:rPr>
        <w:t>MB，占最高流量3.12×10</w:t>
      </w:r>
      <w:r>
        <w:rPr>
          <w:vertAlign w:val="superscript"/>
        </w:rPr>
        <w:t>4</w:t>
      </w:r>
      <w:r>
        <w:t>/2.76×10</w:t>
      </w:r>
      <w:r>
        <w:rPr>
          <w:vertAlign w:val="superscript"/>
        </w:rPr>
        <w:t>6</w:t>
      </w:r>
      <w:r>
        <w:rPr>
          <w:rFonts w:hint="eastAsia"/>
        </w:rPr>
        <w:t xml:space="preserve"> = 1.</w:t>
      </w:r>
      <w:r>
        <w:t>13</w:t>
      </w:r>
      <w:r>
        <w:rPr>
          <w:rFonts w:hint="eastAsia"/>
        </w:rPr>
        <w:t>%；75%的基站流量低于1.</w:t>
      </w:r>
      <w:r>
        <w:t>31</w:t>
      </w:r>
      <w:r>
        <w:rPr>
          <w:rFonts w:hint="eastAsia"/>
        </w:rPr>
        <w:t>×10</w:t>
      </w:r>
      <w:r>
        <w:rPr>
          <w:vertAlign w:val="superscript"/>
        </w:rPr>
        <w:t>5</w:t>
      </w:r>
      <w:r>
        <w:rPr>
          <w:rFonts w:hint="eastAsia"/>
        </w:rPr>
        <w:t>MB，占最高流量1.</w:t>
      </w:r>
      <w:r>
        <w:t>31</w:t>
      </w:r>
      <w:r>
        <w:rPr>
          <w:rFonts w:hint="eastAsia"/>
        </w:rPr>
        <w:t>×10</w:t>
      </w:r>
      <w:r>
        <w:rPr>
          <w:vertAlign w:val="superscript"/>
        </w:rPr>
        <w:t>5</w:t>
      </w:r>
      <w:r>
        <w:t>/2.76×10</w:t>
      </w:r>
      <w:r>
        <w:rPr>
          <w:vertAlign w:val="superscript"/>
        </w:rPr>
        <w:t>6</w:t>
      </w:r>
      <w:r>
        <w:rPr>
          <w:rFonts w:hint="eastAsia"/>
        </w:rPr>
        <w:t xml:space="preserve"> =</w:t>
      </w:r>
      <w:r>
        <w:t>4.75</w:t>
      </w:r>
      <w:r>
        <w:rPr>
          <w:rFonts w:hint="eastAsia"/>
        </w:rPr>
        <w:t>%，总体标准差为：1</w:t>
      </w:r>
      <w:r>
        <w:t>.39×10</w:t>
      </w:r>
      <w:r>
        <w:rPr>
          <w:vertAlign w:val="superscript"/>
        </w:rPr>
        <w:t>5</w:t>
      </w:r>
      <w:r>
        <w:rPr>
          <w:rFonts w:hint="eastAsia"/>
        </w:rPr>
        <w:t>，基站之间显示出了较大差距。如下文中图3-</w:t>
      </w:r>
      <w:r>
        <w:t>7</w:t>
      </w:r>
      <w:r>
        <w:rPr>
          <w:rFonts w:hint="eastAsia"/>
        </w:rPr>
        <w:t>所示，在地里分布上，流量使用量特点是由市中心流量使用量普遍较高，流量使用量由市中心向郊区方向迅速递减。</w:t>
      </w:r>
    </w:p>
    <w:p>
      <w:pPr>
        <w:spacing w:before="156" w:beforeLines="50"/>
        <w:ind w:firstLine="480"/>
      </w:pPr>
      <w:r>
        <w:drawing>
          <wp:anchor distT="0" distB="0" distL="114300" distR="114300" simplePos="0" relativeHeight="251654144" behindDoc="0" locked="0" layoutInCell="1" allowOverlap="1">
            <wp:simplePos x="0" y="0"/>
            <wp:positionH relativeFrom="column">
              <wp:posOffset>257810</wp:posOffset>
            </wp:positionH>
            <wp:positionV relativeFrom="paragraph">
              <wp:posOffset>1003300</wp:posOffset>
            </wp:positionV>
            <wp:extent cx="5243830" cy="2462530"/>
            <wp:effectExtent l="0" t="0" r="0" b="0"/>
            <wp:wrapTopAndBottom/>
            <wp:docPr id="10" name="图片 10" descr="C:\Users\su\Desktop\大论文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su\Desktop\大论文图片\2.jpg"/>
                    <pic:cNvPicPr>
                      <a:picLocks noChangeAspect="1" noChangeArrowheads="1"/>
                    </pic:cNvPicPr>
                  </pic:nvPicPr>
                  <pic:blipFill>
                    <a:blip r:embed="rId45" cstate="print">
                      <a:extLst>
                        <a:ext uri="{28A0092B-C50C-407E-A947-70E740481C1C}">
                          <a14:useLocalDpi xmlns:a14="http://schemas.microsoft.com/office/drawing/2010/main" val="0"/>
                        </a:ext>
                      </a:extLst>
                    </a:blip>
                    <a:srcRect t="4492"/>
                    <a:stretch>
                      <a:fillRect/>
                    </a:stretch>
                  </pic:blipFill>
                  <pic:spPr>
                    <a:xfrm>
                      <a:off x="0" y="0"/>
                      <a:ext cx="5243946" cy="2462400"/>
                    </a:xfrm>
                    <a:prstGeom prst="rect">
                      <a:avLst/>
                    </a:prstGeom>
                    <a:noFill/>
                    <a:ln>
                      <a:noFill/>
                    </a:ln>
                  </pic:spPr>
                </pic:pic>
              </a:graphicData>
            </a:graphic>
          </wp:anchor>
        </w:drawing>
      </w:r>
      <w:r>
        <w:t>(</w:t>
      </w:r>
      <w:r>
        <w:rPr>
          <w:rFonts w:hint="eastAsia"/>
        </w:rPr>
        <w:t>2</w:t>
      </w:r>
      <w:r>
        <w:t>) 全市基站区块面积分布</w:t>
      </w:r>
      <w:r>
        <w:rPr>
          <w:rFonts w:hint="eastAsia"/>
        </w:rPr>
        <w:t>：</w:t>
      </w:r>
      <w:r>
        <w:t>我们首先根据Voronoi图对整个城市的基站辐射范围划分区块</w:t>
      </w:r>
      <w:r>
        <w:rPr>
          <w:rFonts w:hint="eastAsia"/>
        </w:rPr>
        <w:t>，经统计发现其特点是大部分基站区块处于小面积区间，基站区块面积极差大。我们</w:t>
      </w:r>
      <w:r>
        <w:t>分别绘制了</w:t>
      </w:r>
      <w:r>
        <w:rPr>
          <w:rFonts w:hint="eastAsia"/>
        </w:rPr>
        <w:t>区块面积的</w:t>
      </w:r>
      <w:r>
        <w:t>PDF图和CDF图，</w:t>
      </w:r>
      <w:r>
        <w:rPr>
          <w:rFonts w:hint="eastAsia"/>
        </w:rPr>
        <w:t>具体情况</w:t>
      </w:r>
      <w:r>
        <w:t>如图</w:t>
      </w:r>
      <w:r>
        <w:rPr>
          <w:rFonts w:hint="eastAsia"/>
        </w:rPr>
        <w:t>3-</w:t>
      </w:r>
      <w:r>
        <w:t>2所示</w:t>
      </w:r>
      <w:r>
        <w:rPr>
          <w:rFonts w:hint="eastAsia"/>
        </w:rPr>
        <w:t>。</w:t>
      </w:r>
    </w:p>
    <w:p>
      <w:pPr>
        <w:spacing w:before="156" w:beforeLines="50" w:line="240" w:lineRule="auto"/>
        <w:ind w:firstLine="420"/>
        <w:jc w:val="center"/>
        <w:rPr>
          <w:sz w:val="21"/>
          <w:szCs w:val="21"/>
        </w:rPr>
      </w:pPr>
      <w:r>
        <w:rPr>
          <w:rFonts w:hint="eastAsia"/>
          <w:sz w:val="21"/>
          <w:szCs w:val="21"/>
        </w:rPr>
        <w:t>图</w:t>
      </w:r>
      <w:r>
        <w:rPr>
          <w:sz w:val="21"/>
          <w:szCs w:val="21"/>
        </w:rPr>
        <w:t>3-</w:t>
      </w:r>
      <w:r>
        <w:rPr>
          <w:rFonts w:hint="eastAsia"/>
          <w:sz w:val="21"/>
          <w:szCs w:val="21"/>
        </w:rPr>
        <w:t>2</w:t>
      </w:r>
      <w:r>
        <w:rPr>
          <w:sz w:val="21"/>
          <w:szCs w:val="21"/>
        </w:rPr>
        <w:t xml:space="preserve"> </w:t>
      </w:r>
      <w:r>
        <w:rPr>
          <w:color w:val="000000"/>
          <w:sz w:val="21"/>
          <w:szCs w:val="21"/>
        </w:rPr>
        <w:t>全市基站区块面积分布</w:t>
      </w:r>
    </w:p>
    <w:p>
      <w:pPr>
        <w:spacing w:before="50" w:after="156" w:afterLines="50" w:line="240" w:lineRule="auto"/>
        <w:ind w:firstLine="420"/>
        <w:jc w:val="center"/>
        <w:rPr>
          <w:color w:val="000000"/>
          <w:sz w:val="21"/>
          <w:szCs w:val="21"/>
        </w:rPr>
      </w:pPr>
      <w:r>
        <w:rPr>
          <w:rFonts w:hint="eastAsia"/>
          <w:sz w:val="21"/>
          <w:szCs w:val="21"/>
        </w:rPr>
        <w:t>Figure 3-2 Area Distribution of Base Station Blocks in the City</w:t>
      </w:r>
    </w:p>
    <w:p>
      <w:pPr>
        <w:ind w:firstLine="480"/>
      </w:pPr>
      <w:r>
        <w:rPr>
          <w:rFonts w:hint="eastAsia"/>
        </w:rPr>
        <w:t>图3-</w:t>
      </w:r>
      <w:r>
        <w:t>2</w:t>
      </w:r>
      <w:r>
        <w:rPr>
          <w:rFonts w:hint="eastAsia"/>
        </w:rPr>
        <w:t>中图(</w:t>
      </w:r>
      <w:r>
        <w:t>a)</w:t>
      </w:r>
      <w:r>
        <w:rPr>
          <w:rFonts w:hint="eastAsia"/>
        </w:rPr>
        <w:t>、</w:t>
      </w:r>
      <w:r>
        <w:t>(b)</w:t>
      </w:r>
      <w:r>
        <w:rPr>
          <w:rFonts w:hint="eastAsia"/>
        </w:rPr>
        <w:t>分别显示了</w:t>
      </w:r>
      <w:r>
        <w:t>全市基站区块面积</w:t>
      </w:r>
      <w:r>
        <w:rPr>
          <w:rFonts w:hint="eastAsia"/>
        </w:rPr>
        <w:t>的PDF和CDF。在图(</w:t>
      </w:r>
      <w:r>
        <w:t>a)</w:t>
      </w:r>
      <w:r>
        <w:rPr>
          <w:rFonts w:hint="eastAsia"/>
        </w:rPr>
        <w:t>中，随着区块面积的上升基站数目会迅速减小，同时在面积为0</w:t>
      </w:r>
      <w:r>
        <w:t>.006</w:t>
      </w:r>
      <w:r>
        <w:rPr>
          <w:rFonts w:hint="eastAsia"/>
        </w:rPr>
        <w:t>处开始平缓缓同时出现不连续现象</w:t>
      </w:r>
      <w:r>
        <w:t>（值得注意的是区块面积直接由经纬度计算得来，由于比较的是区块之间相对大小，所以没有将其按照比例转换实际面积）</w:t>
      </w:r>
      <w:r>
        <w:rPr>
          <w:rFonts w:hint="eastAsia"/>
        </w:rPr>
        <w:t>，同时最小区块面积达到了</w:t>
      </w:r>
      <w:r>
        <w:t>1.15×10</w:t>
      </w:r>
      <w:r>
        <w:rPr>
          <w:vertAlign w:val="superscript"/>
        </w:rPr>
        <w:t>-7</w:t>
      </w:r>
      <w:r>
        <w:rPr>
          <w:rFonts w:hint="eastAsia"/>
        </w:rPr>
        <w:t>。由于图中纵坐标为对数表示，图中所示的区块面积PDF呈类对数分布，大部分基站处于小面积区间。在图(</w:t>
      </w:r>
      <w:r>
        <w:t>b)</w:t>
      </w:r>
      <w:r>
        <w:rPr>
          <w:rFonts w:hint="eastAsia"/>
        </w:rPr>
        <w:t>中，</w:t>
      </w:r>
      <w:r>
        <w:t>25%的区块面积大于1.52×10</w:t>
      </w:r>
      <w:r>
        <w:rPr>
          <w:vertAlign w:val="superscript"/>
        </w:rPr>
        <w:t>-4</w:t>
      </w:r>
      <w:r>
        <w:t>，是最小面积的1.52×10</w:t>
      </w:r>
      <w:r>
        <w:rPr>
          <w:vertAlign w:val="superscript"/>
        </w:rPr>
        <w:t>-4</w:t>
      </w:r>
      <w:r>
        <w:t>/1.15×10</w:t>
      </w:r>
      <w:r>
        <w:rPr>
          <w:vertAlign w:val="superscript"/>
        </w:rPr>
        <w:t>-7</w:t>
      </w:r>
      <w:r>
        <w:t xml:space="preserve"> =1320.6倍；75%的基站区块面积大于1.18×10</w:t>
      </w:r>
      <w:r>
        <w:rPr>
          <w:vertAlign w:val="superscript"/>
        </w:rPr>
        <w:t>-5</w:t>
      </w:r>
      <w:r>
        <w:t>，是最小面积的1.18×10</w:t>
      </w:r>
      <w:r>
        <w:rPr>
          <w:vertAlign w:val="superscript"/>
        </w:rPr>
        <w:t>-5</w:t>
      </w:r>
      <w:r>
        <w:t>/1.15×10</w:t>
      </w:r>
      <w:r>
        <w:rPr>
          <w:vertAlign w:val="superscript"/>
        </w:rPr>
        <w:t>-7</w:t>
      </w:r>
      <w:r>
        <w:t xml:space="preserve"> =102.38倍，</w:t>
      </w:r>
      <w:r>
        <w:rPr>
          <w:rFonts w:hint="eastAsia"/>
        </w:rPr>
        <w:t>总体标准差为：6</w:t>
      </w:r>
      <w:r>
        <w:t>.88×10</w:t>
      </w:r>
      <w:r>
        <w:rPr>
          <w:rFonts w:hint="eastAsia"/>
          <w:vertAlign w:val="superscript"/>
        </w:rPr>
        <w:t>-</w:t>
      </w:r>
      <w:r>
        <w:rPr>
          <w:vertAlign w:val="superscript"/>
        </w:rPr>
        <w:t>4</w:t>
      </w:r>
      <w:r>
        <w:rPr>
          <w:rFonts w:hint="eastAsia"/>
        </w:rPr>
        <w:t>，基站区块面积之间显示出了较大差距。如下文中图3-</w:t>
      </w:r>
      <w:r>
        <w:t>7</w:t>
      </w:r>
      <w:r>
        <w:rPr>
          <w:rFonts w:hint="eastAsia"/>
        </w:rPr>
        <w:t>所示，在地里分布上，基站区块面积的特点是由市中心区块面积普遍较小，区块面积由市中心向郊区方向迅速变大。</w:t>
      </w:r>
    </w:p>
    <w:p>
      <w:pPr>
        <w:ind w:firstLine="480"/>
      </w:pPr>
      <w:r>
        <w:drawing>
          <wp:anchor distT="0" distB="0" distL="114300" distR="114300" simplePos="0" relativeHeight="251662336" behindDoc="0" locked="0" layoutInCell="1" allowOverlap="1">
            <wp:simplePos x="0" y="0"/>
            <wp:positionH relativeFrom="column">
              <wp:posOffset>184150</wp:posOffset>
            </wp:positionH>
            <wp:positionV relativeFrom="paragraph">
              <wp:posOffset>1100455</wp:posOffset>
            </wp:positionV>
            <wp:extent cx="5306060" cy="2462530"/>
            <wp:effectExtent l="0" t="0" r="0" b="0"/>
            <wp:wrapTopAndBottom/>
            <wp:docPr id="12" name="图片 12" descr="C:\Users\su\Desktop\大论文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su\Desktop\大论文图片\3.jpg"/>
                    <pic:cNvPicPr>
                      <a:picLocks noChangeAspect="1" noChangeArrowheads="1"/>
                    </pic:cNvPicPr>
                  </pic:nvPicPr>
                  <pic:blipFill>
                    <a:blip r:embed="rId46" cstate="print">
                      <a:extLst>
                        <a:ext uri="{28A0092B-C50C-407E-A947-70E740481C1C}">
                          <a14:useLocalDpi xmlns:a14="http://schemas.microsoft.com/office/drawing/2010/main" val="0"/>
                        </a:ext>
                      </a:extLst>
                    </a:blip>
                    <a:srcRect t="5615"/>
                    <a:stretch>
                      <a:fillRect/>
                    </a:stretch>
                  </pic:blipFill>
                  <pic:spPr>
                    <a:xfrm>
                      <a:off x="0" y="0"/>
                      <a:ext cx="5306241" cy="2462400"/>
                    </a:xfrm>
                    <a:prstGeom prst="rect">
                      <a:avLst/>
                    </a:prstGeom>
                    <a:noFill/>
                    <a:ln>
                      <a:noFill/>
                    </a:ln>
                  </pic:spPr>
                </pic:pic>
              </a:graphicData>
            </a:graphic>
          </wp:anchor>
        </w:drawing>
      </w:r>
      <w:r>
        <w:rPr>
          <w:rFonts w:hint="eastAsia"/>
        </w:rPr>
        <w:t>(</w:t>
      </w:r>
      <w:r>
        <w:t xml:space="preserve">3) </w:t>
      </w:r>
      <w:r>
        <w:rPr>
          <w:rFonts w:hint="eastAsia"/>
        </w:rPr>
        <w:t>全市流量密度分布：我们用基站覆盖区块的总流量除以区块的面积得到该区块的流量密度，经统计发现其特点是流量密度呈类对数分布，中间出现断层分成了高低流量密度两个部分。我们</w:t>
      </w:r>
      <w:r>
        <w:t>分别绘制了</w:t>
      </w:r>
      <w:r>
        <w:rPr>
          <w:rFonts w:hint="eastAsia"/>
        </w:rPr>
        <w:t>区块面积的</w:t>
      </w:r>
      <w:r>
        <w:t>PDF图和CDF图，</w:t>
      </w:r>
      <w:r>
        <w:rPr>
          <w:rFonts w:hint="eastAsia"/>
        </w:rPr>
        <w:t>具体情况</w:t>
      </w:r>
      <w:r>
        <w:t>如图</w:t>
      </w:r>
      <w:r>
        <w:rPr>
          <w:rFonts w:hint="eastAsia"/>
        </w:rPr>
        <w:t>3-</w:t>
      </w:r>
      <w:r>
        <w:t>3所示</w:t>
      </w:r>
      <w:r>
        <w:rPr>
          <w:rFonts w:hint="eastAsia"/>
        </w:rPr>
        <w:t>。</w:t>
      </w:r>
    </w:p>
    <w:p>
      <w:pPr>
        <w:spacing w:before="156" w:beforeLines="50" w:line="240" w:lineRule="auto"/>
        <w:ind w:firstLine="420"/>
        <w:jc w:val="center"/>
        <w:rPr>
          <w:sz w:val="21"/>
          <w:szCs w:val="21"/>
        </w:rPr>
      </w:pPr>
      <w:r>
        <w:rPr>
          <w:sz w:val="21"/>
          <w:szCs w:val="21"/>
        </w:rPr>
        <w:t xml:space="preserve">图3-3 </w:t>
      </w:r>
      <w:r>
        <w:rPr>
          <w:color w:val="000000"/>
          <w:sz w:val="21"/>
          <w:szCs w:val="21"/>
        </w:rPr>
        <w:t>全市基站流量密度分布</w:t>
      </w:r>
    </w:p>
    <w:p>
      <w:pPr>
        <w:spacing w:after="156" w:afterLines="50" w:line="240" w:lineRule="auto"/>
        <w:ind w:firstLine="420"/>
        <w:jc w:val="center"/>
        <w:rPr>
          <w:sz w:val="21"/>
          <w:szCs w:val="21"/>
        </w:rPr>
      </w:pPr>
      <w:r>
        <w:rPr>
          <w:sz w:val="21"/>
          <w:szCs w:val="21"/>
        </w:rPr>
        <w:t>Figure 3-3 Citywide Base Station Traffic Density Distribution</w:t>
      </w:r>
    </w:p>
    <w:p>
      <w:pPr>
        <w:ind w:firstLine="480"/>
      </w:pPr>
      <w:r>
        <w:rPr>
          <w:rFonts w:hint="eastAsia"/>
        </w:rPr>
        <w:t>图3-</w:t>
      </w:r>
      <w:r>
        <w:t>3</w:t>
      </w:r>
      <w:r>
        <w:rPr>
          <w:rFonts w:hint="eastAsia"/>
        </w:rPr>
        <w:t>中图(</w:t>
      </w:r>
      <w:r>
        <w:t>a)</w:t>
      </w:r>
      <w:r>
        <w:rPr>
          <w:rFonts w:hint="eastAsia"/>
        </w:rPr>
        <w:t>、</w:t>
      </w:r>
      <w:r>
        <w:t>(b)</w:t>
      </w:r>
      <w:r>
        <w:rPr>
          <w:rFonts w:hint="eastAsia"/>
        </w:rPr>
        <w:t>分别显示了</w:t>
      </w:r>
      <w:r>
        <w:t>全市基站流量密度</w:t>
      </w:r>
      <w:r>
        <w:rPr>
          <w:rFonts w:hint="eastAsia"/>
        </w:rPr>
        <w:t>的PDF和CDF。在图(</w:t>
      </w:r>
      <w:r>
        <w:t>a)</w:t>
      </w:r>
      <w:r>
        <w:rPr>
          <w:rFonts w:hint="eastAsia"/>
        </w:rPr>
        <w:t>中，随着流量密度的上升基站数目会迅速减小，减小的速度甚至超过上文所统计的流量使用量和区块面积，同时在流量密度为6</w:t>
      </w:r>
      <w:r>
        <w:t>×10</w:t>
      </w:r>
      <w:r>
        <w:rPr>
          <w:vertAlign w:val="superscript"/>
        </w:rPr>
        <w:t>-6</w:t>
      </w:r>
      <w:r>
        <w:rPr>
          <w:rFonts w:hint="eastAsia"/>
        </w:rPr>
        <w:t>（由于区块面积是相对值没有单位，所以流量也没有单位）处开始又出现流量密度极高的基站，最高流量密度可达</w:t>
      </w:r>
      <w:r>
        <w:t>7.19</w:t>
      </w:r>
      <w:r>
        <w:rPr>
          <w:rFonts w:hint="eastAsia"/>
        </w:rPr>
        <w:t>×10</w:t>
      </w:r>
      <w:r>
        <w:rPr>
          <w:vertAlign w:val="superscript"/>
        </w:rPr>
        <w:t>11</w:t>
      </w:r>
      <w:r>
        <w:rPr>
          <w:rFonts w:hint="eastAsia"/>
        </w:rPr>
        <w:t>。基站流量密度分成两个部分的原因是：市中心基站流量使用量高，同时基站区块面积小，相除之后能够达到很高的流量密度；郊区基站流量使用量低，同时基站区块面积大，相除之后流量密度较低。在图(</w:t>
      </w:r>
      <w:r>
        <w:t>b)</w:t>
      </w:r>
      <w:r>
        <w:rPr>
          <w:rFonts w:hint="eastAsia"/>
        </w:rPr>
        <w:t>中，50%的区块流量密度低于1</w:t>
      </w:r>
      <w:r>
        <w:t>.03</w:t>
      </w:r>
      <w:r>
        <w:rPr>
          <w:rFonts w:hint="eastAsia"/>
        </w:rPr>
        <w:t>×10</w:t>
      </w:r>
      <w:r>
        <w:rPr>
          <w:vertAlign w:val="superscript"/>
        </w:rPr>
        <w:t>9</w:t>
      </w:r>
      <w:r>
        <w:rPr>
          <w:rFonts w:hint="eastAsia"/>
        </w:rPr>
        <w:t>，占最高流量1</w:t>
      </w:r>
      <w:r>
        <w:t>.03</w:t>
      </w:r>
      <w:r>
        <w:rPr>
          <w:rFonts w:hint="eastAsia"/>
        </w:rPr>
        <w:t>×10</w:t>
      </w:r>
      <w:r>
        <w:rPr>
          <w:vertAlign w:val="superscript"/>
        </w:rPr>
        <w:t>9</w:t>
      </w:r>
      <w:r>
        <w:t>/7.19×10</w:t>
      </w:r>
      <w:r>
        <w:rPr>
          <w:vertAlign w:val="superscript"/>
        </w:rPr>
        <w:t>11</w:t>
      </w:r>
      <w:r>
        <w:rPr>
          <w:rFonts w:hint="eastAsia"/>
        </w:rPr>
        <w:t xml:space="preserve"> = 0.14%；75%的基站流量低于5</w:t>
      </w:r>
      <w:r>
        <w:t>.12</w:t>
      </w:r>
      <w:r>
        <w:rPr>
          <w:rFonts w:hint="eastAsia"/>
        </w:rPr>
        <w:t>×10</w:t>
      </w:r>
      <w:r>
        <w:rPr>
          <w:vertAlign w:val="superscript"/>
        </w:rPr>
        <w:t>9</w:t>
      </w:r>
      <w:r>
        <w:rPr>
          <w:rFonts w:hint="eastAsia"/>
        </w:rPr>
        <w:t>，占最高流量5</w:t>
      </w:r>
      <w:r>
        <w:t>.12</w:t>
      </w:r>
      <w:r>
        <w:rPr>
          <w:rFonts w:hint="eastAsia"/>
        </w:rPr>
        <w:t>×10</w:t>
      </w:r>
      <w:r>
        <w:rPr>
          <w:vertAlign w:val="superscript"/>
        </w:rPr>
        <w:t>9</w:t>
      </w:r>
      <w:r>
        <w:t>/7.19×10</w:t>
      </w:r>
      <w:r>
        <w:rPr>
          <w:vertAlign w:val="superscript"/>
        </w:rPr>
        <w:t>11</w:t>
      </w:r>
      <w:r>
        <w:rPr>
          <w:rFonts w:hint="eastAsia"/>
        </w:rPr>
        <w:t xml:space="preserve"> =0.</w:t>
      </w:r>
      <w:r>
        <w:t>712</w:t>
      </w:r>
      <w:r>
        <w:rPr>
          <w:rFonts w:hint="eastAsia"/>
        </w:rPr>
        <w:t>%，总体标准差为：2</w:t>
      </w:r>
      <w:r>
        <w:t>.52×10</w:t>
      </w:r>
      <w:r>
        <w:rPr>
          <w:vertAlign w:val="superscript"/>
        </w:rPr>
        <w:t>10</w:t>
      </w:r>
      <w:r>
        <w:rPr>
          <w:rFonts w:hint="eastAsia"/>
        </w:rPr>
        <w:t>基站之间显示出了较大的差距。</w:t>
      </w:r>
    </w:p>
    <w:p>
      <w:pPr>
        <w:pStyle w:val="37"/>
      </w:pPr>
      <w:bookmarkStart w:id="115" w:name="_Toc6320071"/>
      <w:bookmarkStart w:id="116" w:name="_Toc7858014"/>
      <w:r>
        <w:rPr>
          <w:rFonts w:hint="eastAsia"/>
        </w:rPr>
        <w:t>3.2.2  市中心范围空间</w:t>
      </w:r>
      <w:bookmarkEnd w:id="115"/>
      <w:r>
        <w:rPr>
          <w:rFonts w:hint="eastAsia"/>
        </w:rPr>
        <w:t>分析</w:t>
      </w:r>
      <w:bookmarkEnd w:id="116"/>
    </w:p>
    <w:p>
      <w:pPr>
        <w:ind w:firstLine="480"/>
      </w:pPr>
      <w:r>
        <w:t>前一小节</w:t>
      </w:r>
      <w:r>
        <w:rPr>
          <w:rFonts w:hint="eastAsia"/>
        </w:rPr>
        <w:t>统计和分析</w:t>
      </w:r>
      <w:r>
        <w:t>了全市范围基站流量情况，我们发现市中心与市中心周边</w:t>
      </w:r>
      <w:r>
        <w:rPr>
          <w:rFonts w:hint="eastAsia"/>
        </w:rPr>
        <w:t>基站在流量密度上出现分隔</w:t>
      </w:r>
      <w:r>
        <w:t>。因此我们选择了纬度[120. 219,120.318]，纬度[30.3272,30.3982]的市中心区域进行细致观察，该区域</w:t>
      </w:r>
      <w:r>
        <w:rPr>
          <w:rFonts w:hint="eastAsia"/>
        </w:rPr>
        <w:t>包含了</w:t>
      </w:r>
      <w:r>
        <w:t>132个基站区块。</w:t>
      </w:r>
    </w:p>
    <w:p>
      <w:pPr>
        <w:ind w:firstLine="480"/>
      </w:pPr>
      <w:r>
        <w:drawing>
          <wp:anchor distT="0" distB="0" distL="114300" distR="114300" simplePos="0" relativeHeight="251642880" behindDoc="0" locked="0" layoutInCell="1" allowOverlap="1">
            <wp:simplePos x="0" y="0"/>
            <wp:positionH relativeFrom="column">
              <wp:posOffset>210185</wp:posOffset>
            </wp:positionH>
            <wp:positionV relativeFrom="paragraph">
              <wp:posOffset>899160</wp:posOffset>
            </wp:positionV>
            <wp:extent cx="5259070" cy="2462530"/>
            <wp:effectExtent l="0" t="0" r="0" b="0"/>
            <wp:wrapTopAndBottom/>
            <wp:docPr id="14" name="图片 14" descr="C:\Users\su\Desktop\大论文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u\Desktop\大论文图片\4.jpg"/>
                    <pic:cNvPicPr>
                      <a:picLocks noChangeAspect="1" noChangeArrowheads="1"/>
                    </pic:cNvPicPr>
                  </pic:nvPicPr>
                  <pic:blipFill>
                    <a:blip r:embed="rId47" cstate="print">
                      <a:extLst>
                        <a:ext uri="{28A0092B-C50C-407E-A947-70E740481C1C}">
                          <a14:useLocalDpi xmlns:a14="http://schemas.microsoft.com/office/drawing/2010/main" val="0"/>
                        </a:ext>
                      </a:extLst>
                    </a:blip>
                    <a:srcRect t="4773"/>
                    <a:stretch>
                      <a:fillRect/>
                    </a:stretch>
                  </pic:blipFill>
                  <pic:spPr>
                    <a:xfrm>
                      <a:off x="0" y="0"/>
                      <a:ext cx="5258763" cy="2462400"/>
                    </a:xfrm>
                    <a:prstGeom prst="rect">
                      <a:avLst/>
                    </a:prstGeom>
                    <a:noFill/>
                    <a:ln>
                      <a:noFill/>
                    </a:ln>
                  </pic:spPr>
                </pic:pic>
              </a:graphicData>
            </a:graphic>
          </wp:anchor>
        </w:drawing>
      </w:r>
      <w:r>
        <w:rPr>
          <w:rFonts w:hint="eastAsia"/>
        </w:rPr>
        <w:t>(</w:t>
      </w:r>
      <w:r>
        <w:t xml:space="preserve">1) </w:t>
      </w:r>
      <w:r>
        <w:rPr>
          <w:rFonts w:hint="eastAsia"/>
        </w:rPr>
        <w:t>市中心基站流量分布：其特点是市中心</w:t>
      </w:r>
      <w:r>
        <w:t>基站流量</w:t>
      </w:r>
      <w:r>
        <w:rPr>
          <w:rFonts w:hint="eastAsia"/>
        </w:rPr>
        <w:t>PDF</w:t>
      </w:r>
      <w:r>
        <w:t>分布</w:t>
      </w:r>
      <w:r>
        <w:rPr>
          <w:rFonts w:hint="eastAsia"/>
        </w:rPr>
        <w:t>呈</w:t>
      </w:r>
      <w:r>
        <w:t>“梳子状”，说明该区域的流量配比有一定规律，这启发我们探究基站流量模式</w:t>
      </w:r>
      <w:r>
        <w:rPr>
          <w:rFonts w:hint="eastAsia"/>
        </w:rPr>
        <w:t>。我们</w:t>
      </w:r>
      <w:r>
        <w:t>分别绘制了</w:t>
      </w:r>
      <w:r>
        <w:rPr>
          <w:rFonts w:hint="eastAsia"/>
        </w:rPr>
        <w:t>区块面积的</w:t>
      </w:r>
      <w:r>
        <w:t>PDF图和CDF图，</w:t>
      </w:r>
      <w:r>
        <w:rPr>
          <w:rFonts w:hint="eastAsia"/>
        </w:rPr>
        <w:t>具体情况</w:t>
      </w:r>
      <w:r>
        <w:t>如图</w:t>
      </w:r>
      <w:r>
        <w:rPr>
          <w:rFonts w:hint="eastAsia"/>
        </w:rPr>
        <w:t>3-</w:t>
      </w:r>
      <w:r>
        <w:t>4所示</w:t>
      </w:r>
      <w:r>
        <w:rPr>
          <w:rFonts w:hint="eastAsia"/>
        </w:rPr>
        <w:t>。</w:t>
      </w:r>
    </w:p>
    <w:p>
      <w:pPr>
        <w:spacing w:before="156" w:beforeLines="50" w:line="240" w:lineRule="auto"/>
        <w:ind w:firstLine="420"/>
        <w:jc w:val="center"/>
        <w:rPr>
          <w:sz w:val="21"/>
          <w:szCs w:val="21"/>
        </w:rPr>
      </w:pPr>
      <w:r>
        <w:rPr>
          <w:sz w:val="21"/>
          <w:szCs w:val="21"/>
        </w:rPr>
        <w:t>图3-</w:t>
      </w:r>
      <w:r>
        <w:rPr>
          <w:rFonts w:hint="eastAsia"/>
          <w:sz w:val="21"/>
          <w:szCs w:val="21"/>
        </w:rPr>
        <w:t>4</w:t>
      </w:r>
      <w:r>
        <w:rPr>
          <w:sz w:val="21"/>
          <w:szCs w:val="21"/>
        </w:rPr>
        <w:t xml:space="preserve"> </w:t>
      </w:r>
      <w:r>
        <w:rPr>
          <w:rFonts w:hint="eastAsia"/>
          <w:color w:val="000000"/>
          <w:sz w:val="21"/>
          <w:szCs w:val="21"/>
        </w:rPr>
        <w:t>市中心</w:t>
      </w:r>
      <w:r>
        <w:rPr>
          <w:color w:val="000000"/>
          <w:sz w:val="21"/>
          <w:szCs w:val="21"/>
        </w:rPr>
        <w:t>基站流量分布</w:t>
      </w:r>
    </w:p>
    <w:p>
      <w:pPr>
        <w:spacing w:after="156" w:afterLines="50" w:line="240" w:lineRule="auto"/>
        <w:ind w:firstLine="420"/>
        <w:jc w:val="center"/>
        <w:rPr>
          <w:sz w:val="21"/>
          <w:szCs w:val="21"/>
        </w:rPr>
      </w:pPr>
      <w:r>
        <w:rPr>
          <w:sz w:val="21"/>
          <w:szCs w:val="21"/>
        </w:rPr>
        <w:t>Figure 3-</w:t>
      </w:r>
      <w:r>
        <w:rPr>
          <w:rFonts w:hint="eastAsia"/>
          <w:sz w:val="21"/>
          <w:szCs w:val="21"/>
        </w:rPr>
        <w:t>4</w:t>
      </w:r>
      <w:r>
        <w:rPr>
          <w:sz w:val="21"/>
          <w:szCs w:val="21"/>
        </w:rPr>
        <w:t xml:space="preserve"> Downtown </w:t>
      </w:r>
      <w:r>
        <w:rPr>
          <w:rFonts w:hint="eastAsia"/>
          <w:sz w:val="21"/>
          <w:szCs w:val="21"/>
        </w:rPr>
        <w:t>B</w:t>
      </w:r>
      <w:r>
        <w:rPr>
          <w:sz w:val="21"/>
          <w:szCs w:val="21"/>
        </w:rPr>
        <w:t xml:space="preserve">ase </w:t>
      </w:r>
      <w:r>
        <w:rPr>
          <w:rFonts w:hint="eastAsia"/>
          <w:sz w:val="21"/>
          <w:szCs w:val="21"/>
        </w:rPr>
        <w:t>S</w:t>
      </w:r>
      <w:r>
        <w:rPr>
          <w:sz w:val="21"/>
          <w:szCs w:val="21"/>
        </w:rPr>
        <w:t xml:space="preserve">tation </w:t>
      </w:r>
      <w:r>
        <w:rPr>
          <w:rFonts w:hint="eastAsia"/>
          <w:sz w:val="21"/>
          <w:szCs w:val="21"/>
        </w:rPr>
        <w:t>T</w:t>
      </w:r>
      <w:r>
        <w:rPr>
          <w:sz w:val="21"/>
          <w:szCs w:val="21"/>
        </w:rPr>
        <w:t xml:space="preserve">raffic </w:t>
      </w:r>
      <w:r>
        <w:rPr>
          <w:rFonts w:hint="eastAsia"/>
          <w:sz w:val="21"/>
          <w:szCs w:val="21"/>
        </w:rPr>
        <w:t>D</w:t>
      </w:r>
      <w:r>
        <w:rPr>
          <w:sz w:val="21"/>
          <w:szCs w:val="21"/>
        </w:rPr>
        <w:t>istribution</w:t>
      </w:r>
    </w:p>
    <w:p>
      <w:pPr>
        <w:ind w:firstLine="480"/>
      </w:pPr>
      <w:r>
        <w:rPr>
          <w:rFonts w:hint="eastAsia"/>
        </w:rPr>
        <w:t>图3-</w:t>
      </w:r>
      <w:r>
        <w:t>4</w:t>
      </w:r>
      <w:r>
        <w:rPr>
          <w:rFonts w:hint="eastAsia"/>
        </w:rPr>
        <w:t>中图(</w:t>
      </w:r>
      <w:r>
        <w:t>a)</w:t>
      </w:r>
      <w:r>
        <w:rPr>
          <w:rFonts w:hint="eastAsia"/>
        </w:rPr>
        <w:t>、</w:t>
      </w:r>
      <w:r>
        <w:t>(b)</w:t>
      </w:r>
      <w:r>
        <w:rPr>
          <w:rFonts w:hint="eastAsia"/>
        </w:rPr>
        <w:t>分别显示了市中心基站流量的PDF和CDF。在图(</w:t>
      </w:r>
      <w:r>
        <w:t>a)</w:t>
      </w:r>
      <w:r>
        <w:rPr>
          <w:rFonts w:hint="eastAsia"/>
        </w:rPr>
        <w:t>中，我们能够看出基站流量分布较全市基站流量分布更加平稳，各个基站流量区间的基站数主要分成了一高一低两个数量级，同时一高一低交叉出现呈现出“梳子状”。比较有趣的是高流量区间和相对较低的流量区间PDF都有类似分布，形成该分布的原因可能是市中心区域被划分成不同的片区，片区内部流量分布有固定规律，同时片区越向市中心集中流量使用量基数就越来越大。</w:t>
      </w:r>
      <w:bookmarkStart w:id="117" w:name="OLE_LINK8"/>
      <w:r>
        <w:rPr>
          <w:rFonts w:hint="eastAsia"/>
        </w:rPr>
        <w:t>在图(</w:t>
      </w:r>
      <w:r>
        <w:t>b)</w:t>
      </w:r>
      <w:r>
        <w:rPr>
          <w:rFonts w:hint="eastAsia"/>
        </w:rPr>
        <w:t>中，我们能够得到</w:t>
      </w:r>
      <w:r>
        <w:t>25%的基站流量低于</w:t>
      </w:r>
      <w:r>
        <w:rPr>
          <w:rFonts w:hint="eastAsia"/>
        </w:rPr>
        <w:t>8</w:t>
      </w:r>
      <w:r>
        <w:t>.31</w:t>
      </w:r>
      <w:r>
        <w:rPr>
          <w:rFonts w:hint="eastAsia"/>
        </w:rPr>
        <w:t>×10</w:t>
      </w:r>
      <w:r>
        <w:rPr>
          <w:vertAlign w:val="superscript"/>
        </w:rPr>
        <w:t>4</w:t>
      </w:r>
      <w:r>
        <w:t>MB，占比该区域最高基站流量</w:t>
      </w:r>
      <w:r>
        <w:rPr>
          <w:rFonts w:hint="eastAsia"/>
        </w:rPr>
        <w:t>1</w:t>
      </w:r>
      <w:r>
        <w:t>.16</w:t>
      </w:r>
      <w:r>
        <w:rPr>
          <w:rFonts w:hint="eastAsia"/>
        </w:rPr>
        <w:t>×10</w:t>
      </w:r>
      <w:r>
        <w:rPr>
          <w:vertAlign w:val="superscript"/>
        </w:rPr>
        <w:t>6</w:t>
      </w:r>
      <w:r>
        <w:t>MB的</w:t>
      </w:r>
      <w:r>
        <w:rPr>
          <w:rFonts w:hint="eastAsia"/>
        </w:rPr>
        <w:t>7</w:t>
      </w:r>
      <w:r>
        <w:t>.16%；50%的基站流量低于</w:t>
      </w:r>
      <w:r>
        <w:rPr>
          <w:rFonts w:hint="eastAsia"/>
        </w:rPr>
        <w:t>2</w:t>
      </w:r>
      <w:r>
        <w:t>.78</w:t>
      </w:r>
      <w:r>
        <w:rPr>
          <w:rFonts w:hint="eastAsia"/>
        </w:rPr>
        <w:t>×10</w:t>
      </w:r>
      <w:r>
        <w:rPr>
          <w:vertAlign w:val="superscript"/>
        </w:rPr>
        <w:t>5</w:t>
      </w:r>
      <w:r>
        <w:t>MB，占比最高基站流量的23.96%</w:t>
      </w:r>
      <w:r>
        <w:rPr>
          <w:rFonts w:hint="eastAsia"/>
        </w:rPr>
        <w:t>；总体标准差为：2</w:t>
      </w:r>
      <w:r>
        <w:t>.56×10</w:t>
      </w:r>
      <w:r>
        <w:rPr>
          <w:vertAlign w:val="superscript"/>
        </w:rPr>
        <w:t>5</w:t>
      </w:r>
      <w:r>
        <w:rPr>
          <w:rFonts w:hint="eastAsia"/>
        </w:rPr>
        <w:t>比全市范围标准差（1</w:t>
      </w:r>
      <w:r>
        <w:t>.39×10</w:t>
      </w:r>
      <w:r>
        <w:rPr>
          <w:vertAlign w:val="superscript"/>
        </w:rPr>
        <w:t>5</w:t>
      </w:r>
      <w:r>
        <w:rPr>
          <w:rFonts w:hint="eastAsia"/>
        </w:rPr>
        <w:t>）要大的多，说明市中心基站之间的流量差异更加明显</w:t>
      </w:r>
      <w:r>
        <w:t>。作为比较，有一些重流量基站，例如该区域最高基站流量</w:t>
      </w:r>
      <w:r>
        <w:rPr>
          <w:rFonts w:hint="eastAsia"/>
        </w:rPr>
        <w:t>1</w:t>
      </w:r>
      <w:r>
        <w:t>.16</w:t>
      </w:r>
      <w:r>
        <w:rPr>
          <w:rFonts w:hint="eastAsia"/>
        </w:rPr>
        <w:t>×10</w:t>
      </w:r>
      <w:r>
        <w:rPr>
          <w:vertAlign w:val="superscript"/>
        </w:rPr>
        <w:t>6</w:t>
      </w:r>
      <w:r>
        <w:t>MB是最低基站流量1.4</w:t>
      </w:r>
      <w:r>
        <w:rPr>
          <w:rFonts w:hint="eastAsia"/>
        </w:rPr>
        <w:t>×10</w:t>
      </w:r>
      <w:r>
        <w:rPr>
          <w:vertAlign w:val="superscript"/>
        </w:rPr>
        <w:t>3</w:t>
      </w:r>
      <w:r>
        <w:t>MB的828.57倍</w:t>
      </w:r>
      <w:bookmarkEnd w:id="117"/>
      <w:r>
        <w:rPr>
          <w:rFonts w:hint="eastAsia"/>
        </w:rPr>
        <w:t>。</w:t>
      </w:r>
    </w:p>
    <w:p>
      <w:pPr>
        <w:ind w:firstLine="480"/>
      </w:pPr>
      <w:r>
        <w:t>(</w:t>
      </w:r>
      <w:r>
        <w:rPr>
          <w:rFonts w:hint="eastAsia"/>
        </w:rPr>
        <w:t>2</w:t>
      </w:r>
      <w:r>
        <w:t>) 市中心基站区块面积分布：其特点是市中心基站区块大部分面积偏小，基站区块面积差距较小。</w:t>
      </w:r>
      <w:r>
        <w:rPr>
          <w:rFonts w:hint="eastAsia"/>
        </w:rPr>
        <w:t>我们</w:t>
      </w:r>
      <w:r>
        <w:t>分别绘制了</w:t>
      </w:r>
      <w:r>
        <w:rPr>
          <w:rFonts w:hint="eastAsia"/>
        </w:rPr>
        <w:t>区块面积的</w:t>
      </w:r>
      <w:r>
        <w:t>PDF图和CDF图，</w:t>
      </w:r>
      <w:r>
        <w:rPr>
          <w:rFonts w:hint="eastAsia"/>
        </w:rPr>
        <w:t>具体情况</w:t>
      </w:r>
      <w:r>
        <w:t>如图</w:t>
      </w:r>
      <w:r>
        <w:rPr>
          <w:rFonts w:hint="eastAsia"/>
        </w:rPr>
        <w:t>3-</w:t>
      </w:r>
      <w:r>
        <w:t>5所示</w:t>
      </w:r>
      <w:r>
        <w:rPr>
          <w:rFonts w:hint="eastAsia"/>
        </w:rPr>
        <w:t>。</w:t>
      </w:r>
    </w:p>
    <w:p>
      <w:pPr>
        <w:spacing w:after="156" w:afterLines="50"/>
        <w:ind w:firstLine="480"/>
      </w:pPr>
    </w:p>
    <w:p>
      <w:pPr>
        <w:spacing w:after="156" w:afterLines="50"/>
        <w:ind w:firstLine="480"/>
      </w:pPr>
    </w:p>
    <w:p>
      <w:pPr>
        <w:spacing w:after="156" w:afterLines="50"/>
        <w:ind w:firstLine="480"/>
      </w:pPr>
    </w:p>
    <w:p>
      <w:pPr>
        <w:spacing w:after="156" w:afterLines="50"/>
        <w:ind w:firstLine="480"/>
      </w:pPr>
    </w:p>
    <w:p>
      <w:pPr>
        <w:spacing w:before="156" w:beforeLines="50" w:line="240" w:lineRule="auto"/>
        <w:ind w:firstLine="480"/>
        <w:jc w:val="center"/>
        <w:rPr>
          <w:sz w:val="21"/>
          <w:szCs w:val="21"/>
        </w:rPr>
      </w:pPr>
      <w:r>
        <w:drawing>
          <wp:anchor distT="0" distB="0" distL="114300" distR="114300" simplePos="0" relativeHeight="251645952" behindDoc="0" locked="0" layoutInCell="1" allowOverlap="1">
            <wp:simplePos x="0" y="0"/>
            <wp:positionH relativeFrom="column">
              <wp:posOffset>250190</wp:posOffset>
            </wp:positionH>
            <wp:positionV relativeFrom="paragraph">
              <wp:posOffset>-2540</wp:posOffset>
            </wp:positionV>
            <wp:extent cx="5258435" cy="2461895"/>
            <wp:effectExtent l="0" t="0" r="0" b="0"/>
            <wp:wrapTopAndBottom/>
            <wp:docPr id="17" name="图片 17" descr="C:\Users\su\Desktop\大论文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su\Desktop\大论文图片\5.jpg"/>
                    <pic:cNvPicPr>
                      <a:picLocks noChangeAspect="1" noChangeArrowheads="1"/>
                    </pic:cNvPicPr>
                  </pic:nvPicPr>
                  <pic:blipFill>
                    <a:blip r:embed="rId48" cstate="print">
                      <a:extLst>
                        <a:ext uri="{28A0092B-C50C-407E-A947-70E740481C1C}">
                          <a14:useLocalDpi xmlns:a14="http://schemas.microsoft.com/office/drawing/2010/main" val="0"/>
                        </a:ext>
                      </a:extLst>
                    </a:blip>
                    <a:srcRect t="4773"/>
                    <a:stretch>
                      <a:fillRect/>
                    </a:stretch>
                  </pic:blipFill>
                  <pic:spPr>
                    <a:xfrm>
                      <a:off x="0" y="0"/>
                      <a:ext cx="5258435" cy="2461895"/>
                    </a:xfrm>
                    <a:prstGeom prst="rect">
                      <a:avLst/>
                    </a:prstGeom>
                    <a:noFill/>
                    <a:ln>
                      <a:noFill/>
                    </a:ln>
                  </pic:spPr>
                </pic:pic>
              </a:graphicData>
            </a:graphic>
          </wp:anchor>
        </w:drawing>
      </w:r>
      <w:r>
        <w:rPr>
          <w:sz w:val="21"/>
          <w:szCs w:val="21"/>
        </w:rPr>
        <w:t>图3-</w:t>
      </w:r>
      <w:r>
        <w:rPr>
          <w:rFonts w:hint="eastAsia"/>
          <w:sz w:val="21"/>
          <w:szCs w:val="21"/>
        </w:rPr>
        <w:t>5</w:t>
      </w:r>
      <w:r>
        <w:rPr>
          <w:sz w:val="21"/>
          <w:szCs w:val="21"/>
        </w:rPr>
        <w:t xml:space="preserve"> </w:t>
      </w:r>
      <w:r>
        <w:rPr>
          <w:color w:val="000000"/>
          <w:sz w:val="21"/>
          <w:szCs w:val="21"/>
        </w:rPr>
        <w:t>市中心范围基站区块面积分布</w:t>
      </w:r>
    </w:p>
    <w:p>
      <w:pPr>
        <w:spacing w:after="156" w:afterLines="50" w:line="240" w:lineRule="auto"/>
        <w:ind w:firstLine="420"/>
        <w:jc w:val="center"/>
        <w:rPr>
          <w:sz w:val="21"/>
          <w:szCs w:val="21"/>
        </w:rPr>
      </w:pPr>
      <w:r>
        <w:rPr>
          <w:sz w:val="21"/>
          <w:szCs w:val="21"/>
        </w:rPr>
        <w:t>Figure 3-</w:t>
      </w:r>
      <w:r>
        <w:rPr>
          <w:rFonts w:hint="eastAsia"/>
          <w:sz w:val="21"/>
          <w:szCs w:val="21"/>
        </w:rPr>
        <w:t>5</w:t>
      </w:r>
      <w:r>
        <w:rPr>
          <w:sz w:val="21"/>
          <w:szCs w:val="21"/>
        </w:rPr>
        <w:t xml:space="preserve"> Block Area Distribution </w:t>
      </w:r>
      <w:r>
        <w:rPr>
          <w:rFonts w:hint="eastAsia"/>
          <w:sz w:val="21"/>
          <w:szCs w:val="21"/>
        </w:rPr>
        <w:t>o</w:t>
      </w:r>
      <w:r>
        <w:rPr>
          <w:sz w:val="21"/>
          <w:szCs w:val="21"/>
        </w:rPr>
        <w:t>f Downtown Base Stations</w:t>
      </w:r>
    </w:p>
    <w:p>
      <w:pPr>
        <w:ind w:firstLine="480"/>
      </w:pPr>
      <w:r>
        <w:rPr>
          <w:rFonts w:hint="eastAsia"/>
        </w:rPr>
        <w:t>图3-</w:t>
      </w:r>
      <w:r>
        <w:t>5</w:t>
      </w:r>
      <w:r>
        <w:rPr>
          <w:rFonts w:hint="eastAsia"/>
        </w:rPr>
        <w:t>中图(</w:t>
      </w:r>
      <w:r>
        <w:t>a)</w:t>
      </w:r>
      <w:r>
        <w:rPr>
          <w:rFonts w:hint="eastAsia"/>
        </w:rPr>
        <w:t>、</w:t>
      </w:r>
      <w:r>
        <w:t>(b)</w:t>
      </w:r>
      <w:r>
        <w:rPr>
          <w:rFonts w:hint="eastAsia"/>
        </w:rPr>
        <w:t>分别显示了市中心基站流量的PDF和CDF。在图(</w:t>
      </w:r>
      <w:r>
        <w:t>a)</w:t>
      </w:r>
      <w:r>
        <w:rPr>
          <w:rFonts w:hint="eastAsia"/>
        </w:rPr>
        <w:t>中，我们能够看出基站区块面积普遍偏小，只有少数大面积区块。在图(</w:t>
      </w:r>
      <w:r>
        <w:t>b)</w:t>
      </w:r>
      <w:r>
        <w:rPr>
          <w:rFonts w:hint="eastAsia"/>
        </w:rPr>
        <w:t>中，我们能够得到</w:t>
      </w:r>
      <w:r>
        <w:t>25%的区块面积大于6.9×10</w:t>
      </w:r>
      <w:r>
        <w:rPr>
          <w:vertAlign w:val="superscript"/>
        </w:rPr>
        <w:t>-5</w:t>
      </w:r>
      <w:r>
        <w:t>，是最小面积的6.9×10</w:t>
      </w:r>
      <w:r>
        <w:rPr>
          <w:vertAlign w:val="superscript"/>
        </w:rPr>
        <w:t>-5</w:t>
      </w:r>
      <w:r>
        <w:t>/5×10</w:t>
      </w:r>
      <w:r>
        <w:rPr>
          <w:vertAlign w:val="superscript"/>
        </w:rPr>
        <w:t>-6</w:t>
      </w:r>
      <w:r>
        <w:t xml:space="preserve"> =13.8倍；75%的基站区块面积大于2.4×10</w:t>
      </w:r>
      <w:r>
        <w:rPr>
          <w:vertAlign w:val="superscript"/>
        </w:rPr>
        <w:t>-5</w:t>
      </w:r>
      <w:r>
        <w:t>，是最小面积的2.4×10</w:t>
      </w:r>
      <w:r>
        <w:rPr>
          <w:vertAlign w:val="superscript"/>
        </w:rPr>
        <w:t>-5</w:t>
      </w:r>
      <w:r>
        <w:t>/5×10</w:t>
      </w:r>
      <w:r>
        <w:rPr>
          <w:vertAlign w:val="superscript"/>
        </w:rPr>
        <w:t>-6</w:t>
      </w:r>
      <w:r>
        <w:t xml:space="preserve"> =4.8倍</w:t>
      </w:r>
      <w:r>
        <w:rPr>
          <w:rFonts w:hint="eastAsia"/>
        </w:rPr>
        <w:t>，总体标准差为：3</w:t>
      </w:r>
      <w:r>
        <w:t>.85×10</w:t>
      </w:r>
      <w:r>
        <w:rPr>
          <w:rFonts w:hint="eastAsia"/>
          <w:vertAlign w:val="superscript"/>
        </w:rPr>
        <w:t>-</w:t>
      </w:r>
      <w:r>
        <w:rPr>
          <w:vertAlign w:val="superscript"/>
        </w:rPr>
        <w:t>4</w:t>
      </w:r>
      <w:r>
        <w:rPr>
          <w:rFonts w:hint="eastAsia"/>
        </w:rPr>
        <w:t>，比全市范围的区块面积标准差6</w:t>
      </w:r>
      <w:r>
        <w:t>.88×10</w:t>
      </w:r>
      <w:r>
        <w:rPr>
          <w:rFonts w:hint="eastAsia"/>
          <w:vertAlign w:val="superscript"/>
        </w:rPr>
        <w:t>-</w:t>
      </w:r>
      <w:r>
        <w:rPr>
          <w:vertAlign w:val="superscript"/>
        </w:rPr>
        <w:t>4</w:t>
      </w:r>
      <w:r>
        <w:rPr>
          <w:rFonts w:hint="eastAsia"/>
        </w:rPr>
        <w:t>要小，说明市中心的区块面积更加集中，基站之间区块面积差异没有全市范围的大。</w:t>
      </w:r>
    </w:p>
    <w:p>
      <w:pPr>
        <w:ind w:firstLine="480"/>
      </w:pPr>
      <w:r>
        <w:drawing>
          <wp:anchor distT="0" distB="0" distL="114300" distR="114300" simplePos="0" relativeHeight="251663360" behindDoc="0" locked="0" layoutInCell="1" allowOverlap="1">
            <wp:simplePos x="0" y="0"/>
            <wp:positionH relativeFrom="column">
              <wp:posOffset>265430</wp:posOffset>
            </wp:positionH>
            <wp:positionV relativeFrom="paragraph">
              <wp:posOffset>636905</wp:posOffset>
            </wp:positionV>
            <wp:extent cx="5227955" cy="2462530"/>
            <wp:effectExtent l="0" t="0" r="0" b="0"/>
            <wp:wrapTopAndBottom/>
            <wp:docPr id="20" name="图片 20" descr="C:\Users\su\Desktop\大论文图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su\Desktop\大论文图片\6.jpg"/>
                    <pic:cNvPicPr>
                      <a:picLocks noChangeAspect="1" noChangeArrowheads="1"/>
                    </pic:cNvPicPr>
                  </pic:nvPicPr>
                  <pic:blipFill>
                    <a:blip r:embed="rId49" cstate="print">
                      <a:extLst>
                        <a:ext uri="{28A0092B-C50C-407E-A947-70E740481C1C}">
                          <a14:useLocalDpi xmlns:a14="http://schemas.microsoft.com/office/drawing/2010/main" val="0"/>
                        </a:ext>
                      </a:extLst>
                    </a:blip>
                    <a:srcRect t="4211"/>
                    <a:stretch>
                      <a:fillRect/>
                    </a:stretch>
                  </pic:blipFill>
                  <pic:spPr>
                    <a:xfrm>
                      <a:off x="0" y="0"/>
                      <a:ext cx="5227989" cy="2462400"/>
                    </a:xfrm>
                    <a:prstGeom prst="rect">
                      <a:avLst/>
                    </a:prstGeom>
                    <a:noFill/>
                    <a:ln>
                      <a:noFill/>
                    </a:ln>
                  </pic:spPr>
                </pic:pic>
              </a:graphicData>
            </a:graphic>
          </wp:anchor>
        </w:drawing>
      </w:r>
      <w:r>
        <w:t>(</w:t>
      </w:r>
      <w:r>
        <w:rPr>
          <w:rFonts w:hint="eastAsia"/>
        </w:rPr>
        <w:t>3</w:t>
      </w:r>
      <w:r>
        <w:t>) 市中心流量密度分布:其特点是流量密度之间的差距比全市范围内更明显。我们用基站覆盖区块的总流量除以区块的面积得到该区块的流量密度，</w:t>
      </w:r>
      <w:r>
        <w:rPr>
          <w:rFonts w:hint="eastAsia"/>
        </w:rPr>
        <w:t>如图3-6所示。</w:t>
      </w:r>
    </w:p>
    <w:p>
      <w:pPr>
        <w:spacing w:before="156" w:beforeLines="50" w:line="240" w:lineRule="auto"/>
        <w:ind w:firstLine="420"/>
        <w:jc w:val="center"/>
        <w:rPr>
          <w:sz w:val="21"/>
          <w:szCs w:val="21"/>
        </w:rPr>
      </w:pPr>
      <w:r>
        <w:rPr>
          <w:sz w:val="21"/>
          <w:szCs w:val="21"/>
        </w:rPr>
        <w:t>图3-</w:t>
      </w:r>
      <w:r>
        <w:rPr>
          <w:rFonts w:hint="eastAsia"/>
          <w:sz w:val="21"/>
          <w:szCs w:val="21"/>
        </w:rPr>
        <w:t>6</w:t>
      </w:r>
      <w:r>
        <w:rPr>
          <w:sz w:val="21"/>
          <w:szCs w:val="21"/>
        </w:rPr>
        <w:t xml:space="preserve"> </w:t>
      </w:r>
      <w:r>
        <w:rPr>
          <w:color w:val="000000"/>
          <w:sz w:val="21"/>
          <w:szCs w:val="21"/>
        </w:rPr>
        <w:t>市中心区块流量密度分布</w:t>
      </w:r>
    </w:p>
    <w:p>
      <w:pPr>
        <w:spacing w:after="156" w:afterLines="50" w:line="240" w:lineRule="auto"/>
        <w:ind w:firstLine="420"/>
        <w:jc w:val="center"/>
        <w:rPr>
          <w:sz w:val="21"/>
          <w:szCs w:val="21"/>
        </w:rPr>
      </w:pPr>
      <w:r>
        <w:rPr>
          <w:sz w:val="21"/>
          <w:szCs w:val="21"/>
        </w:rPr>
        <w:t>Figure 3-</w:t>
      </w:r>
      <w:r>
        <w:rPr>
          <w:rFonts w:hint="eastAsia"/>
          <w:sz w:val="21"/>
          <w:szCs w:val="21"/>
        </w:rPr>
        <w:t>6</w:t>
      </w:r>
      <w:r>
        <w:rPr>
          <w:sz w:val="21"/>
          <w:szCs w:val="21"/>
        </w:rPr>
        <w:t xml:space="preserve"> Traffic Density Distribution </w:t>
      </w:r>
      <w:r>
        <w:rPr>
          <w:rFonts w:hint="eastAsia"/>
          <w:sz w:val="21"/>
          <w:szCs w:val="21"/>
        </w:rPr>
        <w:t>i</w:t>
      </w:r>
      <w:r>
        <w:rPr>
          <w:sz w:val="21"/>
          <w:szCs w:val="21"/>
        </w:rPr>
        <w:t>n Downtown Blocks</w:t>
      </w:r>
    </w:p>
    <w:p>
      <w:pPr>
        <w:ind w:firstLine="480"/>
      </w:pPr>
      <w:r>
        <w:rPr>
          <w:rFonts w:hint="eastAsia"/>
        </w:rPr>
        <w:t>图3-</w:t>
      </w:r>
      <w:r>
        <w:t>6</w:t>
      </w:r>
      <w:r>
        <w:rPr>
          <w:rFonts w:hint="eastAsia"/>
        </w:rPr>
        <w:t>中图(</w:t>
      </w:r>
      <w:r>
        <w:t>a)</w:t>
      </w:r>
      <w:r>
        <w:rPr>
          <w:rFonts w:hint="eastAsia"/>
        </w:rPr>
        <w:t>、</w:t>
      </w:r>
      <w:r>
        <w:t>(b)</w:t>
      </w:r>
      <w:r>
        <w:rPr>
          <w:rFonts w:hint="eastAsia"/>
        </w:rPr>
        <w:t>分别显示了市中心基站流量的PDF和CDF。在图(</w:t>
      </w:r>
      <w:r>
        <w:t>a)中</w:t>
      </w:r>
      <w:r>
        <w:rPr>
          <w:rFonts w:hint="eastAsia"/>
        </w:rPr>
        <w:t>，我们</w:t>
      </w:r>
      <w:r>
        <w:t>能够看出</w:t>
      </w:r>
      <w:r>
        <w:rPr>
          <w:rFonts w:hint="eastAsia"/>
        </w:rPr>
        <w:t>由于市中心面积分布较为均匀，所以基站流量密度与基站流量</w:t>
      </w:r>
      <w:r>
        <w:t>类似，在高流量密度</w:t>
      </w:r>
      <w:r>
        <w:rPr>
          <w:rFonts w:hint="eastAsia"/>
        </w:rPr>
        <w:t>区间PDF</w:t>
      </w:r>
      <w:r>
        <w:t>出现“梳子状”，说明该区域的流量配比有一定规律</w:t>
      </w:r>
      <w:r>
        <w:rPr>
          <w:rFonts w:hint="eastAsia"/>
        </w:rPr>
        <w:t>。在图(</w:t>
      </w:r>
      <w:r>
        <w:t>b)</w:t>
      </w:r>
      <w:r>
        <w:rPr>
          <w:rFonts w:hint="eastAsia"/>
        </w:rPr>
        <w:t>中，50%的区块流量密度低于</w:t>
      </w:r>
      <w:r>
        <w:t>5.62</w:t>
      </w:r>
      <w:r>
        <w:rPr>
          <w:rFonts w:hint="eastAsia"/>
        </w:rPr>
        <w:t>×10</w:t>
      </w:r>
      <w:r>
        <w:rPr>
          <w:vertAlign w:val="superscript"/>
        </w:rPr>
        <w:t>9</w:t>
      </w:r>
      <w:r>
        <w:rPr>
          <w:rFonts w:hint="eastAsia"/>
        </w:rPr>
        <w:t>，占最高流量</w:t>
      </w:r>
      <w:r>
        <w:t>5.62</w:t>
      </w:r>
      <w:r>
        <w:rPr>
          <w:rFonts w:hint="eastAsia"/>
        </w:rPr>
        <w:t>×10</w:t>
      </w:r>
      <w:r>
        <w:rPr>
          <w:vertAlign w:val="superscript"/>
        </w:rPr>
        <w:t>9</w:t>
      </w:r>
      <w:r>
        <w:t>/5.90×10</w:t>
      </w:r>
      <w:r>
        <w:rPr>
          <w:vertAlign w:val="superscript"/>
        </w:rPr>
        <w:t>10</w:t>
      </w:r>
      <w:r>
        <w:rPr>
          <w:rFonts w:hint="eastAsia"/>
        </w:rPr>
        <w:t xml:space="preserve"> = </w:t>
      </w:r>
      <w:r>
        <w:t>9.52</w:t>
      </w:r>
      <w:r>
        <w:rPr>
          <w:rFonts w:hint="eastAsia"/>
        </w:rPr>
        <w:t>%；75%的基站流量低于</w:t>
      </w:r>
      <w:r>
        <w:t>1.12</w:t>
      </w:r>
      <w:r>
        <w:rPr>
          <w:rFonts w:hint="eastAsia"/>
        </w:rPr>
        <w:t>×10</w:t>
      </w:r>
      <w:r>
        <w:rPr>
          <w:vertAlign w:val="superscript"/>
        </w:rPr>
        <w:t>10</w:t>
      </w:r>
      <w:r>
        <w:rPr>
          <w:rFonts w:hint="eastAsia"/>
        </w:rPr>
        <w:t>，占最高流量1</w:t>
      </w:r>
      <w:r>
        <w:t>.12</w:t>
      </w:r>
      <w:r>
        <w:rPr>
          <w:rFonts w:hint="eastAsia"/>
        </w:rPr>
        <w:t>×10</w:t>
      </w:r>
      <w:r>
        <w:rPr>
          <w:vertAlign w:val="superscript"/>
        </w:rPr>
        <w:t>10</w:t>
      </w:r>
      <w:r>
        <w:t>/5.90×10</w:t>
      </w:r>
      <w:r>
        <w:rPr>
          <w:vertAlign w:val="superscript"/>
        </w:rPr>
        <w:t>10</w:t>
      </w:r>
      <w:r>
        <w:rPr>
          <w:rFonts w:hint="eastAsia"/>
        </w:rPr>
        <w:t xml:space="preserve"> =0.</w:t>
      </w:r>
      <w:r>
        <w:t>712</w:t>
      </w:r>
      <w:r>
        <w:rPr>
          <w:rFonts w:hint="eastAsia"/>
        </w:rPr>
        <w:t>%，总体标准差为：9</w:t>
      </w:r>
      <w:r>
        <w:t>.99</w:t>
      </w:r>
      <w:r>
        <w:rPr>
          <w:rFonts w:hint="eastAsia"/>
        </w:rPr>
        <w:t>×10</w:t>
      </w:r>
      <w:r>
        <w:rPr>
          <w:vertAlign w:val="superscript"/>
        </w:rPr>
        <w:t>9</w:t>
      </w:r>
      <w:r>
        <w:rPr>
          <w:rFonts w:hint="eastAsia"/>
        </w:rPr>
        <w:t>，比全市范围的流量密度标准差(</w:t>
      </w:r>
      <w:r>
        <w:t>2.51</w:t>
      </w:r>
      <w:r>
        <w:rPr>
          <w:rFonts w:hint="eastAsia"/>
        </w:rPr>
        <w:t>×10</w:t>
      </w:r>
      <w:r>
        <w:rPr>
          <w:vertAlign w:val="superscript"/>
        </w:rPr>
        <w:t>10</w:t>
      </w:r>
      <w:r>
        <w:t>)</w:t>
      </w:r>
      <w:r>
        <w:rPr>
          <w:rFonts w:hint="eastAsia"/>
        </w:rPr>
        <w:t>要小，说明市中心的流量密度比全市范围的流量密度分布更加集中。</w:t>
      </w:r>
    </w:p>
    <w:p>
      <w:pPr>
        <w:ind w:firstLine="480"/>
      </w:pPr>
      <w:r>
        <w:rPr>
          <w:rFonts w:hint="eastAsia"/>
        </w:rPr>
        <w:drawing>
          <wp:anchor distT="0" distB="0" distL="114300" distR="114300" simplePos="0" relativeHeight="251674624" behindDoc="0" locked="0" layoutInCell="1" allowOverlap="1">
            <wp:simplePos x="0" y="0"/>
            <wp:positionH relativeFrom="column">
              <wp:posOffset>3175</wp:posOffset>
            </wp:positionH>
            <wp:positionV relativeFrom="paragraph">
              <wp:posOffset>562610</wp:posOffset>
            </wp:positionV>
            <wp:extent cx="5753735" cy="2549525"/>
            <wp:effectExtent l="0" t="0" r="12065" b="3175"/>
            <wp:wrapTopAndBottom/>
            <wp:docPr id="5" name="图片 5" descr="图w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wq1"/>
                    <pic:cNvPicPr>
                      <a:picLocks noChangeAspect="1"/>
                    </pic:cNvPicPr>
                  </pic:nvPicPr>
                  <pic:blipFill>
                    <a:blip r:embed="rId50"/>
                    <a:stretch>
                      <a:fillRect/>
                    </a:stretch>
                  </pic:blipFill>
                  <pic:spPr>
                    <a:xfrm>
                      <a:off x="0" y="0"/>
                      <a:ext cx="5753735" cy="2549525"/>
                    </a:xfrm>
                    <a:prstGeom prst="rect">
                      <a:avLst/>
                    </a:prstGeom>
                  </pic:spPr>
                </pic:pic>
              </a:graphicData>
            </a:graphic>
          </wp:anchor>
        </w:drawing>
      </w:r>
      <w:r>
        <w:t>(</w:t>
      </w:r>
      <w:r>
        <w:rPr>
          <w:rFonts w:hint="eastAsia"/>
        </w:rPr>
        <w:t>4</w:t>
      </w:r>
      <w:r>
        <w:t>) 流量热力分布：其特点是基站流量从市中心向周边延伸，基站流量渐进式递减，相邻基站流量分布不均匀</w:t>
      </w:r>
      <w:r>
        <w:rPr>
          <w:rFonts w:hint="eastAsia"/>
        </w:rPr>
        <w:t>。如图3-</w:t>
      </w:r>
      <w:r>
        <w:t>7</w:t>
      </w:r>
      <w:r>
        <w:rPr>
          <w:rFonts w:hint="eastAsia"/>
        </w:rPr>
        <w:t>所示。</w:t>
      </w:r>
    </w:p>
    <w:p>
      <w:pPr>
        <w:spacing w:before="156" w:beforeLines="50" w:line="240" w:lineRule="auto"/>
        <w:ind w:firstLine="420"/>
        <w:jc w:val="center"/>
        <w:rPr>
          <w:sz w:val="21"/>
          <w:szCs w:val="21"/>
        </w:rPr>
      </w:pPr>
      <w:r>
        <w:rPr>
          <w:sz w:val="21"/>
          <w:szCs w:val="21"/>
        </w:rPr>
        <w:t>图3-7 全市流量热力分布</w:t>
      </w:r>
    </w:p>
    <w:p>
      <w:pPr>
        <w:spacing w:after="156" w:afterLines="50" w:line="240" w:lineRule="auto"/>
        <w:ind w:firstLine="420"/>
        <w:jc w:val="center"/>
        <w:rPr>
          <w:sz w:val="21"/>
          <w:szCs w:val="21"/>
        </w:rPr>
      </w:pPr>
      <w:r>
        <w:rPr>
          <w:sz w:val="21"/>
          <w:szCs w:val="21"/>
        </w:rPr>
        <w:t>Figure 3-7 Heatmap of the City's Traffic</w:t>
      </w:r>
      <w:bookmarkStart w:id="118" w:name="_Toc6796406"/>
      <w:bookmarkEnd w:id="118"/>
      <w:bookmarkStart w:id="119" w:name="_Toc6315040"/>
      <w:bookmarkEnd w:id="119"/>
      <w:bookmarkStart w:id="120" w:name="_Toc16046"/>
      <w:bookmarkEnd w:id="120"/>
      <w:bookmarkStart w:id="121" w:name="_Toc6320074"/>
      <w:bookmarkEnd w:id="121"/>
      <w:bookmarkStart w:id="122" w:name="_Toc6318803"/>
      <w:bookmarkEnd w:id="122"/>
      <w:bookmarkStart w:id="123" w:name="_Toc4425"/>
      <w:bookmarkEnd w:id="123"/>
      <w:bookmarkStart w:id="124" w:name="_Toc6315037"/>
      <w:bookmarkEnd w:id="124"/>
      <w:bookmarkStart w:id="125" w:name="_Toc6315039"/>
      <w:bookmarkEnd w:id="125"/>
      <w:bookmarkStart w:id="126" w:name="_Toc6320073"/>
      <w:bookmarkEnd w:id="126"/>
      <w:bookmarkStart w:id="127" w:name="_Toc6318799"/>
      <w:bookmarkEnd w:id="127"/>
      <w:bookmarkStart w:id="128" w:name="_Toc20514"/>
      <w:bookmarkEnd w:id="128"/>
      <w:bookmarkStart w:id="129" w:name="_Toc6318901"/>
      <w:bookmarkEnd w:id="129"/>
      <w:bookmarkStart w:id="130" w:name="_Toc6315042"/>
      <w:bookmarkEnd w:id="130"/>
      <w:bookmarkStart w:id="131" w:name="_Toc6318804"/>
      <w:bookmarkEnd w:id="131"/>
      <w:bookmarkStart w:id="132" w:name="_Toc19181"/>
      <w:bookmarkEnd w:id="132"/>
      <w:bookmarkStart w:id="133" w:name="_Toc6315038"/>
      <w:bookmarkEnd w:id="133"/>
      <w:bookmarkStart w:id="134" w:name="_Toc6320072"/>
      <w:bookmarkEnd w:id="134"/>
      <w:bookmarkStart w:id="135" w:name="_Toc6318802"/>
      <w:bookmarkEnd w:id="135"/>
      <w:bookmarkStart w:id="136" w:name="_Toc6320077"/>
      <w:bookmarkEnd w:id="136"/>
      <w:bookmarkStart w:id="137" w:name="_Toc6320078"/>
      <w:bookmarkEnd w:id="137"/>
      <w:bookmarkStart w:id="138" w:name="_Toc6796405"/>
      <w:bookmarkEnd w:id="138"/>
      <w:bookmarkStart w:id="139" w:name="_Toc6318801"/>
      <w:bookmarkEnd w:id="139"/>
      <w:bookmarkStart w:id="140" w:name="_Toc6796403"/>
      <w:bookmarkEnd w:id="140"/>
      <w:bookmarkStart w:id="141" w:name="_Toc6796404"/>
      <w:bookmarkEnd w:id="141"/>
      <w:bookmarkStart w:id="142" w:name="_Toc6318800"/>
      <w:bookmarkEnd w:id="142"/>
      <w:bookmarkStart w:id="143" w:name="_Toc6318798"/>
      <w:bookmarkEnd w:id="143"/>
      <w:bookmarkStart w:id="144" w:name="_Toc27631"/>
      <w:bookmarkEnd w:id="144"/>
      <w:bookmarkStart w:id="145" w:name="_Toc6318906"/>
      <w:bookmarkEnd w:id="145"/>
      <w:bookmarkStart w:id="146" w:name="_Toc6318904"/>
      <w:bookmarkEnd w:id="146"/>
      <w:bookmarkStart w:id="147" w:name="_Toc6320076"/>
      <w:bookmarkEnd w:id="147"/>
      <w:bookmarkStart w:id="148" w:name="_Toc6320075"/>
      <w:bookmarkEnd w:id="148"/>
      <w:bookmarkStart w:id="149" w:name="_Toc6315041"/>
      <w:bookmarkEnd w:id="149"/>
      <w:bookmarkStart w:id="150" w:name="_Toc27796"/>
      <w:bookmarkEnd w:id="150"/>
      <w:bookmarkStart w:id="151" w:name="_Toc6796401"/>
      <w:bookmarkEnd w:id="151"/>
      <w:bookmarkStart w:id="152" w:name="_Toc17766"/>
      <w:bookmarkEnd w:id="152"/>
      <w:bookmarkStart w:id="153" w:name="_Toc6318905"/>
      <w:bookmarkEnd w:id="153"/>
      <w:bookmarkStart w:id="154" w:name="_Toc6796402"/>
      <w:bookmarkEnd w:id="154"/>
      <w:bookmarkStart w:id="155" w:name="_Toc6318902"/>
      <w:bookmarkEnd w:id="155"/>
      <w:bookmarkStart w:id="156" w:name="_Toc6318903"/>
      <w:bookmarkEnd w:id="156"/>
      <w:bookmarkStart w:id="157" w:name="_Toc6796407"/>
      <w:bookmarkEnd w:id="157"/>
      <w:bookmarkStart w:id="158" w:name="_Toc6315043"/>
      <w:bookmarkEnd w:id="158"/>
      <w:bookmarkStart w:id="159" w:name="_Toc6318907"/>
      <w:bookmarkEnd w:id="159"/>
    </w:p>
    <w:p>
      <w:pPr>
        <w:ind w:firstLine="480"/>
      </w:pPr>
      <w:r>
        <w:t>图</w:t>
      </w:r>
      <w:r>
        <w:rPr>
          <w:rFonts w:hint="eastAsia"/>
        </w:rPr>
        <w:t>3-</w:t>
      </w:r>
      <w:r>
        <w:t>7直观显示基站流量从市中心向郊区的变化。</w:t>
      </w:r>
      <w:r>
        <w:rPr>
          <w:rFonts w:hint="eastAsia"/>
        </w:rPr>
        <w:t>(</w:t>
      </w:r>
      <w:r>
        <w:t>a)</w:t>
      </w:r>
      <w:r>
        <w:rPr>
          <w:rFonts w:hint="eastAsia"/>
        </w:rPr>
        <w:t>图</w:t>
      </w:r>
      <w:r>
        <w:t>表示全市范围的基站流量，</w:t>
      </w:r>
      <w:r>
        <w:rPr>
          <w:rFonts w:hint="eastAsia"/>
        </w:rPr>
        <w:t>(</w:t>
      </w:r>
      <w:r>
        <w:t>b)图为市中心区域的局部放大图。图中蓝色表示基站流量密度较低，红色表示基站流量较高。从</w:t>
      </w:r>
      <w:r>
        <w:rPr>
          <w:rFonts w:hint="eastAsia"/>
        </w:rPr>
        <w:t>(</w:t>
      </w:r>
      <w:r>
        <w:t>a)图可以看出市中心周围（也即郊区）的基站流量较低，向市中心方向基站流量逐渐升高，但是基站的区块面积却呈现出相反趋势，即越往市中心区域，基站的区块面积越小。</w:t>
      </w:r>
      <w:r>
        <w:rPr>
          <w:rFonts w:hint="eastAsia"/>
        </w:rPr>
        <w:t>(</w:t>
      </w:r>
      <w:r>
        <w:t>b)图显示的是市中心范围基站流量分布，从中可以看出该区域的基站流量整体偏高，但是分布不均匀，高流量基站周围往往伴随着低流量基站。结合之前</w:t>
      </w:r>
      <w:r>
        <w:rPr>
          <w:rFonts w:hint="eastAsia"/>
        </w:rPr>
        <w:t>统计分析</w:t>
      </w:r>
      <w:r>
        <w:t>结果、基站区块之间的流量差异与分布特点，我们觉得有必要探索基站的流量模式。</w:t>
      </w:r>
      <w:bookmarkStart w:id="160" w:name="_Toc503120219"/>
      <w:bookmarkEnd w:id="160"/>
      <w:bookmarkStart w:id="161" w:name="_Toc507493707"/>
      <w:bookmarkEnd w:id="161"/>
      <w:bookmarkStart w:id="162" w:name="_Toc503296642"/>
      <w:bookmarkEnd w:id="162"/>
    </w:p>
    <w:p>
      <w:pPr>
        <w:pStyle w:val="40"/>
      </w:pPr>
      <w:bookmarkStart w:id="163" w:name="_Toc6320079"/>
      <w:bookmarkStart w:id="164" w:name="_Toc7858015"/>
      <w:r>
        <w:t>3.</w:t>
      </w:r>
      <w:r>
        <w:rPr>
          <w:rFonts w:hint="eastAsia"/>
        </w:rPr>
        <w:t xml:space="preserve">3  </w:t>
      </w:r>
      <w:bookmarkEnd w:id="163"/>
      <w:r>
        <w:rPr>
          <w:rFonts w:hint="eastAsia"/>
        </w:rPr>
        <w:t>基站流量的时间分析</w:t>
      </w:r>
      <w:bookmarkEnd w:id="164"/>
    </w:p>
    <w:p>
      <w:pPr>
        <w:ind w:firstLine="480"/>
      </w:pPr>
      <w:r>
        <w:t>该小节主要分析基站流量随时间变化的特点。我们仍从全市和市中心两个角度分析。我们将各范围内的所有基站流量按月累加，它反映了区域内基站流量总体动态变化情况</w:t>
      </w:r>
      <w:r>
        <w:rPr>
          <w:rFonts w:hint="eastAsia"/>
        </w:rPr>
        <w:t>，我们</w:t>
      </w:r>
      <w:r>
        <w:t>绘制了</w:t>
      </w:r>
      <w:r>
        <w:rPr>
          <w:rFonts w:hint="eastAsia"/>
        </w:rPr>
        <w:t>这</w:t>
      </w:r>
      <w:r>
        <w:t>5个月</w:t>
      </w:r>
      <w:r>
        <w:rPr>
          <w:rFonts w:hint="eastAsia"/>
        </w:rPr>
        <w:t>内</w:t>
      </w:r>
      <w:r>
        <w:t>全市所有基站和市中心基站的流量变化折线图</w:t>
      </w:r>
      <w:r>
        <w:rPr>
          <w:rFonts w:hint="eastAsia"/>
        </w:rPr>
        <w:t>，如</w:t>
      </w:r>
      <w:r>
        <w:t>图</w:t>
      </w:r>
      <w:r>
        <w:rPr>
          <w:rFonts w:hint="eastAsia"/>
        </w:rPr>
        <w:t>3-</w:t>
      </w:r>
      <w:r>
        <w:t>8</w:t>
      </w:r>
      <w:r>
        <w:rPr>
          <w:rFonts w:hint="eastAsia"/>
        </w:rPr>
        <w:t>所示。</w:t>
      </w:r>
    </w:p>
    <w:p>
      <w:pPr>
        <w:spacing w:before="156" w:beforeLines="50" w:line="240" w:lineRule="auto"/>
        <w:ind w:firstLine="480"/>
        <w:jc w:val="center"/>
        <w:rPr>
          <w:sz w:val="21"/>
          <w:szCs w:val="21"/>
        </w:rPr>
      </w:pPr>
      <w:r>
        <w:drawing>
          <wp:anchor distT="0" distB="0" distL="114300" distR="114300" simplePos="0" relativeHeight="251653120" behindDoc="0" locked="0" layoutInCell="1" allowOverlap="1">
            <wp:simplePos x="0" y="0"/>
            <wp:positionH relativeFrom="column">
              <wp:posOffset>403225</wp:posOffset>
            </wp:positionH>
            <wp:positionV relativeFrom="paragraph">
              <wp:posOffset>149225</wp:posOffset>
            </wp:positionV>
            <wp:extent cx="4952365" cy="2313940"/>
            <wp:effectExtent l="0" t="0" r="635" b="0"/>
            <wp:wrapTopAndBottom/>
            <wp:docPr id="31" name="图片 31" descr="C:\Users\su\Desktop\使用版本\图片\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su\Desktop\使用版本\图片\3-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952365" cy="2313940"/>
                    </a:xfrm>
                    <a:prstGeom prst="rect">
                      <a:avLst/>
                    </a:prstGeom>
                    <a:noFill/>
                    <a:ln>
                      <a:noFill/>
                    </a:ln>
                  </pic:spPr>
                </pic:pic>
              </a:graphicData>
            </a:graphic>
          </wp:anchor>
        </w:drawing>
      </w:r>
      <w:r>
        <w:rPr>
          <w:sz w:val="21"/>
          <w:szCs w:val="21"/>
        </w:rPr>
        <w:t>图3-</w:t>
      </w:r>
      <w:r>
        <w:rPr>
          <w:rFonts w:hint="eastAsia"/>
          <w:sz w:val="21"/>
          <w:szCs w:val="21"/>
        </w:rPr>
        <w:t>8</w:t>
      </w:r>
      <w:r>
        <w:rPr>
          <w:sz w:val="21"/>
          <w:szCs w:val="21"/>
        </w:rPr>
        <w:t xml:space="preserve"> 基站流量变化折线图</w:t>
      </w:r>
    </w:p>
    <w:p>
      <w:pPr>
        <w:spacing w:after="156" w:afterLines="50" w:line="240" w:lineRule="auto"/>
        <w:ind w:firstLine="420"/>
        <w:jc w:val="center"/>
        <w:rPr>
          <w:sz w:val="21"/>
          <w:szCs w:val="21"/>
        </w:rPr>
      </w:pPr>
      <w:r>
        <w:rPr>
          <w:sz w:val="21"/>
          <w:szCs w:val="21"/>
        </w:rPr>
        <w:t>Figure 3-</w:t>
      </w:r>
      <w:r>
        <w:rPr>
          <w:rFonts w:hint="eastAsia"/>
          <w:sz w:val="21"/>
          <w:szCs w:val="21"/>
        </w:rPr>
        <w:t>8</w:t>
      </w:r>
      <w:r>
        <w:rPr>
          <w:sz w:val="21"/>
          <w:szCs w:val="21"/>
        </w:rPr>
        <w:t xml:space="preserve"> </w:t>
      </w:r>
      <w:r>
        <w:rPr>
          <w:rFonts w:hint="eastAsia"/>
          <w:sz w:val="21"/>
          <w:szCs w:val="21"/>
        </w:rPr>
        <w:t>Line Chart of Base Station Traffic</w:t>
      </w:r>
    </w:p>
    <w:p>
      <w:pPr>
        <w:ind w:firstLine="480"/>
      </w:pPr>
      <w:r>
        <w:rPr>
          <w:rFonts w:hint="eastAsia"/>
        </w:rPr>
        <w:t>从图3-</w:t>
      </w:r>
      <w:r>
        <w:t>8</w:t>
      </w:r>
      <w:r>
        <w:rPr>
          <w:rFonts w:hint="eastAsia"/>
        </w:rPr>
        <w:t>中，我们得出基站总体增长模式的特点是：基站流量总体呈</w:t>
      </w:r>
      <w:r>
        <w:t>上升趋势、11月份与次年2月份</w:t>
      </w:r>
      <w:r>
        <w:rPr>
          <w:rFonts w:hint="eastAsia"/>
        </w:rPr>
        <w:t>是产生流量波动的关键点</w:t>
      </w:r>
      <w:r>
        <w:t>、市中心</w:t>
      </w:r>
      <w:r>
        <w:rPr>
          <w:rFonts w:hint="eastAsia"/>
        </w:rPr>
        <w:t>相比郊区</w:t>
      </w:r>
      <w:r>
        <w:t>基站流量</w:t>
      </w:r>
      <w:r>
        <w:rPr>
          <w:rFonts w:hint="eastAsia"/>
        </w:rPr>
        <w:t>增减幅度更大。(</w:t>
      </w:r>
      <w:r>
        <w:t>a)</w:t>
      </w:r>
      <w:r>
        <w:rPr>
          <w:rFonts w:hint="eastAsia"/>
        </w:rPr>
        <w:t>图和(</w:t>
      </w:r>
      <w:r>
        <w:t>b)</w:t>
      </w:r>
      <w:r>
        <w:rPr>
          <w:rFonts w:hint="eastAsia"/>
        </w:rPr>
        <w:t>图分别代表</w:t>
      </w:r>
      <w:r>
        <w:t>全市和市中心基站流量变化模式，</w:t>
      </w:r>
      <w:r>
        <w:rPr>
          <w:rFonts w:hint="eastAsia"/>
        </w:rPr>
        <w:t>二者整体波形类似，</w:t>
      </w:r>
      <w:r>
        <w:t>主要区别在11月份和次年2月份</w:t>
      </w:r>
      <w:r>
        <w:rPr>
          <w:rFonts w:hint="eastAsia"/>
        </w:rPr>
        <w:t>的流量变化幅度不同，</w:t>
      </w:r>
      <w:r>
        <w:t>具体来说：</w:t>
      </w:r>
    </w:p>
    <w:p>
      <w:pPr>
        <w:ind w:firstLine="480"/>
      </w:pPr>
      <w:r>
        <w:t>(</w:t>
      </w:r>
      <w:r>
        <w:rPr>
          <w:rFonts w:hint="eastAsia"/>
        </w:rPr>
        <w:t>1</w:t>
      </w:r>
      <w:r>
        <w:t>) 随着时间的变化，区域的整体基站流量呈上升趋势</w:t>
      </w:r>
      <w:r>
        <w:rPr>
          <w:rFonts w:hint="eastAsia"/>
        </w:rPr>
        <w:t>；</w:t>
      </w:r>
    </w:p>
    <w:p>
      <w:pPr>
        <w:ind w:firstLine="480"/>
      </w:pPr>
      <w:r>
        <w:t>(</w:t>
      </w:r>
      <w:r>
        <w:rPr>
          <w:rFonts w:hint="eastAsia"/>
        </w:rPr>
        <w:t>2</w:t>
      </w:r>
      <w:r>
        <w:t xml:space="preserve">) </w:t>
      </w:r>
      <w:r>
        <w:rPr>
          <w:rFonts w:hint="eastAsia"/>
        </w:rPr>
        <w:t>在</w:t>
      </w:r>
      <w:r>
        <w:t>11月份，基站流量达到当年最高值</w:t>
      </w:r>
      <w:r>
        <w:rPr>
          <w:rFonts w:hint="eastAsia"/>
        </w:rPr>
        <w:t>。</w:t>
      </w:r>
      <w:r>
        <w:t>其原因</w:t>
      </w:r>
      <w:r>
        <w:rPr>
          <w:rFonts w:hint="eastAsia"/>
        </w:rPr>
        <w:t>是本月包含了一个</w:t>
      </w:r>
      <w:r>
        <w:t>特别</w:t>
      </w:r>
      <w:r>
        <w:rPr>
          <w:rFonts w:hint="eastAsia"/>
        </w:rPr>
        <w:t>的</w:t>
      </w:r>
      <w:r>
        <w:t>中国节日“双十一”</w:t>
      </w:r>
      <w:r>
        <w:rPr>
          <w:rFonts w:hint="eastAsia"/>
        </w:rPr>
        <w:t>电商购物节</w:t>
      </w:r>
      <w:r>
        <w:t>，</w:t>
      </w:r>
      <w:r>
        <w:rPr>
          <w:rFonts w:hint="eastAsia"/>
        </w:rPr>
        <w:t>大量用户使用移动端进行网络购物。</w:t>
      </w:r>
      <w:r>
        <w:t>该</w:t>
      </w:r>
      <w:r>
        <w:rPr>
          <w:rFonts w:hint="eastAsia"/>
        </w:rPr>
        <w:t>城市</w:t>
      </w:r>
      <w:r>
        <w:t>电子商务</w:t>
      </w:r>
      <w:r>
        <w:rPr>
          <w:rFonts w:hint="eastAsia"/>
        </w:rPr>
        <w:t>领域</w:t>
      </w:r>
      <w:r>
        <w:t>发达</w:t>
      </w:r>
      <w:r>
        <w:rPr>
          <w:rFonts w:hint="eastAsia"/>
        </w:rPr>
        <w:t>，导致</w:t>
      </w:r>
      <w:r>
        <w:t>该月份内基站</w:t>
      </w:r>
      <w:r>
        <w:rPr>
          <w:rFonts w:hint="eastAsia"/>
        </w:rPr>
        <w:t>无线网络</w:t>
      </w:r>
      <w:r>
        <w:t>流量激增</w:t>
      </w:r>
      <w:r>
        <w:rPr>
          <w:rFonts w:hint="eastAsia"/>
        </w:rPr>
        <w:t>；</w:t>
      </w:r>
    </w:p>
    <w:p>
      <w:pPr>
        <w:ind w:firstLine="480"/>
      </w:pPr>
      <w:r>
        <w:t>(</w:t>
      </w:r>
      <w:r>
        <w:rPr>
          <w:rFonts w:hint="eastAsia"/>
        </w:rPr>
        <w:t>3</w:t>
      </w:r>
      <w:r>
        <w:t xml:space="preserve">) </w:t>
      </w:r>
      <w:r>
        <w:rPr>
          <w:rFonts w:hint="eastAsia"/>
        </w:rPr>
        <w:t>在</w:t>
      </w:r>
      <w:r>
        <w:t>次年2月份，基站流量锐减。</w:t>
      </w:r>
      <w:r>
        <w:rPr>
          <w:rFonts w:hint="eastAsia"/>
        </w:rPr>
        <w:t>其</w:t>
      </w:r>
      <w:r>
        <w:t>原因是该月包含了中国节日“春节”</w:t>
      </w:r>
      <w:r>
        <w:rPr>
          <w:rFonts w:hint="eastAsia"/>
        </w:rPr>
        <w:t>，目前该城市</w:t>
      </w:r>
      <w:r>
        <w:t>存在大量外来人口，“春节”期间返乡或部分常住人口迁入郊区，导致基站流量骤降。图3</w:t>
      </w:r>
      <w:r>
        <w:rPr>
          <w:rFonts w:hint="eastAsia"/>
        </w:rPr>
        <w:t>-</w:t>
      </w:r>
      <w:r>
        <w:t>8</w:t>
      </w:r>
      <w:r>
        <w:rPr>
          <w:rFonts w:hint="eastAsia"/>
        </w:rPr>
        <w:t>(</w:t>
      </w:r>
      <w:r>
        <w:t>a)</w:t>
      </w:r>
      <w:r>
        <w:rPr>
          <w:rFonts w:hint="eastAsia"/>
        </w:rPr>
        <w:t>、(</w:t>
      </w:r>
      <w:r>
        <w:t>b)两图</w:t>
      </w:r>
      <w:r>
        <w:rPr>
          <w:rFonts w:hint="eastAsia"/>
        </w:rPr>
        <w:t>的不同之处是：</w:t>
      </w:r>
      <w:r>
        <w:t>市中心基站流量比全市基站流量要下降更多，原因</w:t>
      </w:r>
      <w:r>
        <w:rPr>
          <w:rFonts w:hint="eastAsia"/>
        </w:rPr>
        <w:t>是从</w:t>
      </w:r>
      <w:r>
        <w:t>市中心</w:t>
      </w:r>
      <w:r>
        <w:rPr>
          <w:rFonts w:hint="eastAsia"/>
        </w:rPr>
        <w:t>离开的人口有部分短期（春节期间）迁入郊区，导致郊区基站</w:t>
      </w:r>
      <w:r>
        <w:t>流量</w:t>
      </w:r>
      <w:r>
        <w:rPr>
          <w:rFonts w:hint="eastAsia"/>
        </w:rPr>
        <w:t>的下降得到缓和；</w:t>
      </w:r>
    </w:p>
    <w:p>
      <w:pPr>
        <w:ind w:firstLine="480"/>
      </w:pPr>
      <w:r>
        <w:t xml:space="preserve">(4) </w:t>
      </w:r>
      <w:r>
        <w:rPr>
          <w:rFonts w:hint="eastAsia"/>
        </w:rPr>
        <w:t>在</w:t>
      </w:r>
      <w:r>
        <w:t>次年3月份，基站流量从低谷恢复到较高流量</w:t>
      </w:r>
      <w:r>
        <w:rPr>
          <w:rFonts w:hint="eastAsia"/>
        </w:rPr>
        <w:t>水平</w:t>
      </w:r>
      <w:r>
        <w:t>。</w:t>
      </w:r>
      <w:r>
        <w:rPr>
          <w:rFonts w:hint="eastAsia"/>
        </w:rPr>
        <w:t>其</w:t>
      </w:r>
      <w:r>
        <w:t>原因在于“春节”后迎来“返工潮”，外来人口迁回该城市或者常住居民返回市中心工作区，基站流量</w:t>
      </w:r>
      <w:r>
        <w:rPr>
          <w:rFonts w:hint="eastAsia"/>
        </w:rPr>
        <w:t>因为人口的重新聚集而</w:t>
      </w:r>
      <w:r>
        <w:t>迅速恢复。</w:t>
      </w:r>
    </w:p>
    <w:p>
      <w:pPr>
        <w:ind w:firstLine="480"/>
      </w:pPr>
      <w:r>
        <w:t>我们仍选取</w:t>
      </w:r>
      <w:r>
        <w:rPr>
          <w:color w:val="000000"/>
        </w:rPr>
        <w:t>纬度[120.</w:t>
      </w:r>
      <w:r>
        <w:t xml:space="preserve"> </w:t>
      </w:r>
      <w:r>
        <w:rPr>
          <w:color w:val="000000"/>
        </w:rPr>
        <w:t>219,120.318]，纬度[30.3272,30.3982]的市中心区域，共包含</w:t>
      </w:r>
      <w:r>
        <w:t>132个基站区块，</w:t>
      </w:r>
      <w:r>
        <w:rPr>
          <w:rFonts w:hint="eastAsia"/>
        </w:rPr>
        <w:t>我们将市中心基站各月份（7月、9月、1</w:t>
      </w:r>
      <w:r>
        <w:t>1</w:t>
      </w:r>
      <w:r>
        <w:rPr>
          <w:rFonts w:hint="eastAsia"/>
        </w:rPr>
        <w:t>月、次年2月、次年3月）的流量热力图绘制出来，如图3-</w:t>
      </w:r>
      <w:r>
        <w:t>9</w:t>
      </w:r>
      <w:r>
        <w:rPr>
          <w:rFonts w:hint="eastAsia"/>
        </w:rPr>
        <w:t>所示。</w:t>
      </w:r>
    </w:p>
    <w:p>
      <w:pPr>
        <w:ind w:firstLine="480"/>
      </w:pPr>
    </w:p>
    <w:p>
      <w:pPr>
        <w:ind w:firstLine="480"/>
      </w:pPr>
    </w:p>
    <w:p>
      <w:pPr>
        <w:ind w:firstLine="480"/>
      </w:pPr>
    </w:p>
    <w:p>
      <w:pPr>
        <w:spacing w:before="156" w:beforeLines="50" w:line="240" w:lineRule="auto"/>
        <w:ind w:firstLine="480"/>
        <w:jc w:val="center"/>
        <w:rPr>
          <w:sz w:val="21"/>
          <w:szCs w:val="21"/>
        </w:rPr>
      </w:pPr>
      <w:r>
        <w:drawing>
          <wp:anchor distT="0" distB="0" distL="114300" distR="114300" simplePos="0" relativeHeight="251650048" behindDoc="0" locked="0" layoutInCell="1" allowOverlap="1">
            <wp:simplePos x="0" y="0"/>
            <wp:positionH relativeFrom="column">
              <wp:posOffset>0</wp:posOffset>
            </wp:positionH>
            <wp:positionV relativeFrom="paragraph">
              <wp:posOffset>58420</wp:posOffset>
            </wp:positionV>
            <wp:extent cx="5759450" cy="1096645"/>
            <wp:effectExtent l="0" t="0" r="0" b="8255"/>
            <wp:wrapTopAndBottom/>
            <wp:docPr id="24" name="图片 24" descr="C:\Users\su\Desktop\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su\Desktop\hot.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759450" cy="1096645"/>
                    </a:xfrm>
                    <a:prstGeom prst="rect">
                      <a:avLst/>
                    </a:prstGeom>
                    <a:noFill/>
                    <a:ln>
                      <a:noFill/>
                    </a:ln>
                  </pic:spPr>
                </pic:pic>
              </a:graphicData>
            </a:graphic>
          </wp:anchor>
        </w:drawing>
      </w:r>
      <w:r>
        <w:rPr>
          <w:sz w:val="21"/>
          <w:szCs w:val="21"/>
        </w:rPr>
        <w:t>图3-</w:t>
      </w:r>
      <w:r>
        <w:rPr>
          <w:rFonts w:hint="eastAsia"/>
          <w:sz w:val="21"/>
          <w:szCs w:val="21"/>
        </w:rPr>
        <w:t>9</w:t>
      </w:r>
      <w:r>
        <w:rPr>
          <w:sz w:val="21"/>
          <w:szCs w:val="21"/>
        </w:rPr>
        <w:t xml:space="preserve"> 市中心基站流量变化热力图</w:t>
      </w:r>
    </w:p>
    <w:p>
      <w:pPr>
        <w:spacing w:after="156" w:afterLines="50" w:line="240" w:lineRule="auto"/>
        <w:ind w:firstLine="420"/>
        <w:jc w:val="center"/>
        <w:rPr>
          <w:color w:val="000000"/>
          <w:sz w:val="21"/>
          <w:szCs w:val="21"/>
        </w:rPr>
      </w:pPr>
      <w:r>
        <w:rPr>
          <w:sz w:val="21"/>
          <w:szCs w:val="21"/>
        </w:rPr>
        <w:t>Figure 3-</w:t>
      </w:r>
      <w:r>
        <w:rPr>
          <w:rFonts w:hint="eastAsia"/>
          <w:sz w:val="21"/>
          <w:szCs w:val="21"/>
        </w:rPr>
        <w:t>9</w:t>
      </w:r>
      <w:r>
        <w:rPr>
          <w:sz w:val="21"/>
          <w:szCs w:val="21"/>
        </w:rPr>
        <w:t xml:space="preserve"> </w:t>
      </w:r>
      <w:r>
        <w:rPr>
          <w:rFonts w:hint="eastAsia"/>
          <w:sz w:val="21"/>
          <w:szCs w:val="21"/>
        </w:rPr>
        <w:t>Traffic map of downtown base stations over time</w:t>
      </w:r>
    </w:p>
    <w:p>
      <w:pPr>
        <w:ind w:firstLine="480"/>
      </w:pPr>
      <w:r>
        <w:rPr>
          <w:rFonts w:hint="eastAsia"/>
        </w:rPr>
        <w:t>在图3-</w:t>
      </w:r>
      <w:r>
        <w:t>9</w:t>
      </w:r>
      <w:r>
        <w:rPr>
          <w:rFonts w:hint="eastAsia"/>
        </w:rPr>
        <w:t>中，将</w:t>
      </w:r>
      <w:r>
        <w:t>各子图</w:t>
      </w:r>
      <w:r>
        <w:rPr>
          <w:rFonts w:hint="eastAsia"/>
        </w:rPr>
        <w:t>连贯起来看，市中心</w:t>
      </w:r>
      <w:r>
        <w:t>基站流量</w:t>
      </w:r>
      <w:r>
        <w:rPr>
          <w:rFonts w:hint="eastAsia"/>
        </w:rPr>
        <w:t>的</w:t>
      </w:r>
      <w:r>
        <w:t>变化规律与前文所述</w:t>
      </w:r>
      <w:r>
        <w:rPr>
          <w:rFonts w:hint="eastAsia"/>
        </w:rPr>
        <w:t>一致</w:t>
      </w:r>
      <w:r>
        <w:t>，即在整体上升的趋势中，于“11月份”</w:t>
      </w:r>
      <w:r>
        <w:rPr>
          <w:rFonts w:hint="eastAsia"/>
        </w:rPr>
        <w:t>、</w:t>
      </w:r>
      <w:r>
        <w:t>“次年2月份”产生了明显的流量升降波动</w:t>
      </w:r>
      <w:r>
        <w:rPr>
          <w:rFonts w:hint="eastAsia"/>
        </w:rPr>
        <w:t>。同时热力图也显示了</w:t>
      </w:r>
      <w:r>
        <w:t>相邻基站存在的流量差异，造成了基站流量空间分布不均匀性，高流量基站通常有许多低流量基站分布周围。</w:t>
      </w:r>
      <w:bookmarkStart w:id="165" w:name="_Toc507493712"/>
      <w:bookmarkEnd w:id="165"/>
      <w:bookmarkStart w:id="166" w:name="_Toc503120224"/>
      <w:bookmarkEnd w:id="166"/>
      <w:bookmarkStart w:id="167" w:name="_Toc503296647"/>
      <w:bookmarkEnd w:id="167"/>
    </w:p>
    <w:p>
      <w:pPr>
        <w:pStyle w:val="40"/>
      </w:pPr>
      <w:bookmarkStart w:id="168" w:name="_Toc6320080"/>
      <w:bookmarkStart w:id="169" w:name="_Toc7858016"/>
      <w:r>
        <w:t>3.4  本章小结</w:t>
      </w:r>
      <w:bookmarkEnd w:id="168"/>
      <w:bookmarkEnd w:id="169"/>
    </w:p>
    <w:p>
      <w:pPr>
        <w:ind w:firstLine="480"/>
      </w:pPr>
      <w:r>
        <w:t>本章从全市和市中心</w:t>
      </w:r>
      <w:r>
        <w:rPr>
          <w:rFonts w:hint="eastAsia"/>
        </w:rPr>
        <w:t>两个</w:t>
      </w:r>
      <w:r>
        <w:t>范围对基站流量数据进行</w:t>
      </w:r>
      <w:r>
        <w:rPr>
          <w:rFonts w:hint="eastAsia"/>
        </w:rPr>
        <w:t>统计和分析</w:t>
      </w:r>
      <w:r>
        <w:t>，同时</w:t>
      </w:r>
      <w:r>
        <w:rPr>
          <w:rFonts w:hint="eastAsia"/>
        </w:rPr>
        <w:t>从时间角度，总结了</w:t>
      </w:r>
      <w:r>
        <w:t>基站流量</w:t>
      </w:r>
      <w:r>
        <w:rPr>
          <w:rFonts w:hint="eastAsia"/>
        </w:rPr>
        <w:t>的总体</w:t>
      </w:r>
      <w:r>
        <w:t>增长模式。</w:t>
      </w:r>
      <w:r>
        <w:rPr>
          <w:rFonts w:hint="eastAsia"/>
        </w:rPr>
        <w:t>分析的结论是：</w:t>
      </w:r>
    </w:p>
    <w:p>
      <w:pPr>
        <w:ind w:firstLine="480"/>
      </w:pPr>
      <w:r>
        <w:t xml:space="preserve">(1) </w:t>
      </w:r>
      <w:r>
        <w:rPr>
          <w:rFonts w:hint="eastAsia"/>
        </w:rPr>
        <w:t>在空间上，</w:t>
      </w:r>
      <w:r>
        <w:t>全市范围基站流量和流量密度分布不均衡，</w:t>
      </w:r>
      <w:r>
        <w:rPr>
          <w:rFonts w:hint="eastAsia"/>
        </w:rPr>
        <w:t>市中心和非市中心流量差异明显。市中心基站流量的特点是：</w:t>
      </w:r>
      <w:r>
        <w:t>基站流量</w:t>
      </w:r>
      <w:r>
        <w:rPr>
          <w:rFonts w:hint="eastAsia"/>
        </w:rPr>
        <w:t>整体偏</w:t>
      </w:r>
      <w:r>
        <w:t>高</w:t>
      </w:r>
      <w:r>
        <w:rPr>
          <w:rFonts w:hint="eastAsia"/>
        </w:rPr>
        <w:t>、基站流量PDF</w:t>
      </w:r>
      <w:r>
        <w:t>分布有“梳子状”即该区域流量</w:t>
      </w:r>
      <w:r>
        <w:rPr>
          <w:rFonts w:hint="eastAsia"/>
        </w:rPr>
        <w:t>配比</w:t>
      </w:r>
      <w:r>
        <w:t>存在一定规律</w:t>
      </w:r>
      <w:r>
        <w:rPr>
          <w:rFonts w:hint="eastAsia"/>
        </w:rPr>
        <w:t>、</w:t>
      </w:r>
      <w:r>
        <w:t>基站区块面积小且分布集中，造成相邻基站之间流量密度变化大。</w:t>
      </w:r>
    </w:p>
    <w:p>
      <w:pPr>
        <w:ind w:firstLine="480"/>
      </w:pPr>
      <w:r>
        <w:rPr>
          <w:rFonts w:hint="eastAsia"/>
        </w:rPr>
        <w:t>(</w:t>
      </w:r>
      <w:r>
        <w:t>2)</w:t>
      </w:r>
      <w:r>
        <w:rPr>
          <w:rFonts w:hint="eastAsia"/>
        </w:rPr>
        <w:t>在时间上，我们总结了</w:t>
      </w:r>
      <w:r>
        <w:t>基站流量</w:t>
      </w:r>
      <w:r>
        <w:rPr>
          <w:rFonts w:hint="eastAsia"/>
        </w:rPr>
        <w:t>总体</w:t>
      </w:r>
      <w:r>
        <w:t>增长模式</w:t>
      </w:r>
      <w:r>
        <w:rPr>
          <w:rFonts w:hint="eastAsia"/>
        </w:rPr>
        <w:t>的</w:t>
      </w:r>
      <w:r>
        <w:t>特点是</w:t>
      </w:r>
      <w:r>
        <w:rPr>
          <w:rFonts w:hint="eastAsia"/>
        </w:rPr>
        <w:t>：</w:t>
      </w:r>
      <w:r>
        <w:t>基站流量总体呈上升趋势，在关键点波动幅度大，分别</w:t>
      </w:r>
      <w:r>
        <w:rPr>
          <w:rFonts w:hint="eastAsia"/>
        </w:rPr>
        <w:t>对应</w:t>
      </w:r>
      <w:r>
        <w:t>包含“双十一”、“春节”的月份；对比全市基站，市中心基站流量变化幅度更大</w:t>
      </w:r>
      <w:r>
        <w:rPr>
          <w:rFonts w:hint="eastAsia"/>
        </w:rPr>
        <w:t>。</w:t>
      </w:r>
    </w:p>
    <w:p>
      <w:pPr>
        <w:ind w:firstLine="480"/>
        <w:sectPr>
          <w:headerReference r:id="rId18" w:type="default"/>
          <w:pgSz w:w="11906" w:h="16838"/>
          <w:pgMar w:top="1701" w:right="1418" w:bottom="1418" w:left="1418" w:header="907" w:footer="851" w:gutter="0"/>
          <w:cols w:space="720" w:num="1"/>
          <w:formProt w:val="0"/>
          <w:docGrid w:type="lines" w:linePitch="312" w:charSpace="0"/>
        </w:sectPr>
      </w:pPr>
      <w:r>
        <w:rPr>
          <w:rFonts w:hint="eastAsia"/>
        </w:rPr>
        <w:t>本章初步探索了基站的流量情况发现：</w:t>
      </w:r>
      <w:r>
        <w:t>基站流量在空间上差异较大，时间上</w:t>
      </w:r>
      <w:r>
        <w:rPr>
          <w:rFonts w:hint="eastAsia"/>
        </w:rPr>
        <w:t>在</w:t>
      </w:r>
      <w:r>
        <w:t>关键点处波动明显，</w:t>
      </w:r>
      <w:r>
        <w:rPr>
          <w:rFonts w:hint="eastAsia"/>
        </w:rPr>
        <w:t>并</w:t>
      </w:r>
      <w:r>
        <w:t>且</w:t>
      </w:r>
      <w:r>
        <w:rPr>
          <w:rFonts w:hint="eastAsia"/>
        </w:rPr>
        <w:t>这种波动</w:t>
      </w:r>
      <w:r>
        <w:t>和该</w:t>
      </w:r>
      <w:r>
        <w:rPr>
          <w:rFonts w:hint="eastAsia"/>
        </w:rPr>
        <w:t>城市的</w:t>
      </w:r>
      <w:r>
        <w:t>特点以及中国节日相关，</w:t>
      </w:r>
      <w:r>
        <w:rPr>
          <w:rFonts w:hint="eastAsia"/>
        </w:rPr>
        <w:t>这些</w:t>
      </w:r>
      <w:r>
        <w:t>启发我们更加细致挖掘基站的流量变化模式。</w:t>
      </w:r>
    </w:p>
    <w:p>
      <w:pPr>
        <w:pStyle w:val="41"/>
        <w:rPr>
          <w:lang w:val="zh-CN"/>
        </w:rPr>
      </w:pPr>
      <w:bookmarkStart w:id="170" w:name="_Toc7858017"/>
      <w:bookmarkStart w:id="171" w:name="_Toc6320081"/>
      <w:r>
        <w:t xml:space="preserve">4  </w:t>
      </w:r>
      <w:r>
        <w:rPr>
          <w:lang w:val="zh-CN"/>
        </w:rPr>
        <w:t>基站长期流量变化模式聚类</w:t>
      </w:r>
      <w:bookmarkEnd w:id="170"/>
      <w:bookmarkEnd w:id="171"/>
    </w:p>
    <w:p>
      <w:pPr>
        <w:ind w:firstLine="480"/>
      </w:pPr>
      <w:r>
        <w:t>本章</w:t>
      </w:r>
      <w:r>
        <w:rPr>
          <w:rFonts w:hint="eastAsia"/>
        </w:rPr>
        <w:t>针对传统聚类方法的不足提出了</w:t>
      </w:r>
      <w:r>
        <w:t>Rank-Based基站流量模式聚类方法，并对7110个真实基站进行模式聚类分析。我们首先分析了</w:t>
      </w:r>
      <w:r>
        <w:rPr>
          <w:rFonts w:hint="eastAsia"/>
        </w:rPr>
        <w:t>传统聚类方式在对</w:t>
      </w:r>
      <w:r>
        <w:t>基站</w:t>
      </w:r>
      <w:r>
        <w:rPr>
          <w:rFonts w:hint="eastAsia"/>
        </w:rPr>
        <w:t>聚类上的不足，</w:t>
      </w:r>
      <w:r>
        <w:t>之后介绍了Rank-Based聚类方法的内容</w:t>
      </w:r>
      <w:r>
        <w:rPr>
          <w:rFonts w:hint="eastAsia"/>
        </w:rPr>
        <w:t>。</w:t>
      </w:r>
      <w:r>
        <w:t>基于真实基站数据，我们</w:t>
      </w:r>
      <w:r>
        <w:rPr>
          <w:rFonts w:hint="eastAsia"/>
        </w:rPr>
        <w:t>分多个</w:t>
      </w:r>
      <w:r>
        <w:t>步骤将众多基站聚类并发掘其中规律。根据该</w:t>
      </w:r>
      <w:r>
        <w:rPr>
          <w:rFonts w:hint="eastAsia"/>
        </w:rPr>
        <w:t>城市</w:t>
      </w:r>
      <w:r>
        <w:t>的特点和中国的节日</w:t>
      </w:r>
      <w:r>
        <w:rPr>
          <w:rFonts w:hint="eastAsia"/>
        </w:rPr>
        <w:t>，我们</w:t>
      </w:r>
      <w:r>
        <w:t>针对每一类基站流量模式</w:t>
      </w:r>
      <w:r>
        <w:rPr>
          <w:rFonts w:hint="eastAsia"/>
        </w:rPr>
        <w:t>都</w:t>
      </w:r>
      <w:r>
        <w:t>分析</w:t>
      </w:r>
      <w:r>
        <w:rPr>
          <w:rFonts w:hint="eastAsia"/>
        </w:rPr>
        <w:t>了模式特点和</w:t>
      </w:r>
      <w:r>
        <w:t>形成的原因。最后我们将</w:t>
      </w:r>
      <w:r>
        <w:rPr>
          <w:rFonts w:hint="eastAsia"/>
        </w:rPr>
        <w:t>Rank-Based</w:t>
      </w:r>
      <w:r>
        <w:t>聚类结果与经典的聚类算法K-means</w:t>
      </w:r>
      <w:r>
        <w:rPr>
          <w:rFonts w:hint="eastAsia"/>
        </w:rPr>
        <w:t>进行对比了分析。</w:t>
      </w:r>
    </w:p>
    <w:p>
      <w:pPr>
        <w:pStyle w:val="40"/>
      </w:pPr>
      <w:bookmarkStart w:id="172" w:name="_Toc7858018"/>
      <w:bookmarkStart w:id="173" w:name="_Toc6320082"/>
      <w:r>
        <w:t>4.1  传统聚类方法</w:t>
      </w:r>
      <w:bookmarkEnd w:id="172"/>
    </w:p>
    <w:p>
      <w:pPr>
        <w:ind w:firstLine="480"/>
      </w:pPr>
      <w:r>
        <w:drawing>
          <wp:anchor distT="0" distB="0" distL="114300" distR="114300" simplePos="0" relativeHeight="251670528" behindDoc="0" locked="0" layoutInCell="1" allowOverlap="1">
            <wp:simplePos x="0" y="0"/>
            <wp:positionH relativeFrom="column">
              <wp:posOffset>1226185</wp:posOffset>
            </wp:positionH>
            <wp:positionV relativeFrom="paragraph">
              <wp:posOffset>802640</wp:posOffset>
            </wp:positionV>
            <wp:extent cx="3362325" cy="2180590"/>
            <wp:effectExtent l="0" t="0" r="9525" b="0"/>
            <wp:wrapTopAndBottom/>
            <wp:docPr id="27" name="图片 27" descr="C:\Users\su\Desktop\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su\Desktop\1111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362325" cy="2180590"/>
                    </a:xfrm>
                    <a:prstGeom prst="rect">
                      <a:avLst/>
                    </a:prstGeom>
                    <a:noFill/>
                    <a:ln>
                      <a:noFill/>
                    </a:ln>
                  </pic:spPr>
                </pic:pic>
              </a:graphicData>
            </a:graphic>
          </wp:anchor>
        </w:drawing>
      </w:r>
      <w:r>
        <w:rPr>
          <w:rFonts w:hint="eastAsia"/>
        </w:rPr>
        <w:t>传统聚类方法以内类距离作为聚类规则，但是它在基站流量涨跌的方面没有很好的解释性。下面将通过一个例子说明传统聚类方法在基站流量模式挖掘方面的不足，如下图4-1所示。</w:t>
      </w:r>
    </w:p>
    <w:p>
      <w:pPr>
        <w:spacing w:before="156" w:beforeLines="50" w:line="240" w:lineRule="auto"/>
        <w:ind w:firstLine="420"/>
        <w:jc w:val="center"/>
        <w:rPr>
          <w:sz w:val="21"/>
          <w:szCs w:val="21"/>
        </w:rPr>
      </w:pPr>
      <w:r>
        <w:rPr>
          <w:sz w:val="21"/>
          <w:szCs w:val="21"/>
        </w:rPr>
        <w:t>图</w:t>
      </w:r>
      <w:r>
        <w:rPr>
          <w:rFonts w:hint="eastAsia"/>
          <w:sz w:val="21"/>
          <w:szCs w:val="21"/>
        </w:rPr>
        <w:t>4</w:t>
      </w:r>
      <w:r>
        <w:rPr>
          <w:sz w:val="21"/>
          <w:szCs w:val="21"/>
        </w:rPr>
        <w:t>-</w:t>
      </w:r>
      <w:r>
        <w:rPr>
          <w:rFonts w:hint="eastAsia"/>
          <w:sz w:val="21"/>
          <w:szCs w:val="21"/>
        </w:rPr>
        <w:t>1</w:t>
      </w:r>
      <w:r>
        <w:rPr>
          <w:sz w:val="21"/>
          <w:szCs w:val="21"/>
        </w:rPr>
        <w:t xml:space="preserve"> </w:t>
      </w:r>
      <w:r>
        <w:rPr>
          <w:rFonts w:hint="eastAsia"/>
          <w:sz w:val="21"/>
          <w:szCs w:val="21"/>
        </w:rPr>
        <w:t>三个基站的流量折线图</w:t>
      </w:r>
    </w:p>
    <w:p>
      <w:pPr>
        <w:spacing w:after="156" w:afterLines="50" w:line="240" w:lineRule="auto"/>
        <w:ind w:firstLine="420"/>
        <w:jc w:val="center"/>
        <w:rPr>
          <w:sz w:val="21"/>
          <w:szCs w:val="21"/>
        </w:rPr>
      </w:pPr>
      <w:r>
        <w:rPr>
          <w:sz w:val="21"/>
          <w:szCs w:val="21"/>
        </w:rPr>
        <w:t xml:space="preserve">Figure </w:t>
      </w:r>
      <w:r>
        <w:rPr>
          <w:rFonts w:hint="eastAsia"/>
          <w:sz w:val="21"/>
          <w:szCs w:val="21"/>
        </w:rPr>
        <w:t>4</w:t>
      </w:r>
      <w:r>
        <w:rPr>
          <w:sz w:val="21"/>
          <w:szCs w:val="21"/>
        </w:rPr>
        <w:t>-</w:t>
      </w:r>
      <w:r>
        <w:rPr>
          <w:rFonts w:hint="eastAsia"/>
          <w:sz w:val="21"/>
          <w:szCs w:val="21"/>
        </w:rPr>
        <w:t xml:space="preserve">1 </w:t>
      </w:r>
      <w:r>
        <w:rPr>
          <w:sz w:val="21"/>
          <w:szCs w:val="21"/>
        </w:rPr>
        <w:t xml:space="preserve">Flow </w:t>
      </w:r>
      <w:r>
        <w:rPr>
          <w:rFonts w:hint="eastAsia"/>
          <w:sz w:val="21"/>
          <w:szCs w:val="21"/>
        </w:rPr>
        <w:t>C</w:t>
      </w:r>
      <w:r>
        <w:rPr>
          <w:sz w:val="21"/>
          <w:szCs w:val="21"/>
        </w:rPr>
        <w:t xml:space="preserve">hart of </w:t>
      </w:r>
      <w:r>
        <w:rPr>
          <w:rFonts w:hint="eastAsia"/>
          <w:sz w:val="21"/>
          <w:szCs w:val="21"/>
        </w:rPr>
        <w:t>T</w:t>
      </w:r>
      <w:r>
        <w:rPr>
          <w:sz w:val="21"/>
          <w:szCs w:val="21"/>
        </w:rPr>
        <w:t xml:space="preserve">hree </w:t>
      </w:r>
      <w:r>
        <w:rPr>
          <w:rFonts w:hint="eastAsia"/>
          <w:sz w:val="21"/>
          <w:szCs w:val="21"/>
        </w:rPr>
        <w:t>B</w:t>
      </w:r>
      <w:r>
        <w:rPr>
          <w:sz w:val="21"/>
          <w:szCs w:val="21"/>
        </w:rPr>
        <w:t xml:space="preserve">ase </w:t>
      </w:r>
      <w:r>
        <w:rPr>
          <w:rFonts w:hint="eastAsia"/>
          <w:sz w:val="21"/>
          <w:szCs w:val="21"/>
        </w:rPr>
        <w:t>S</w:t>
      </w:r>
      <w:r>
        <w:rPr>
          <w:sz w:val="21"/>
          <w:szCs w:val="21"/>
        </w:rPr>
        <w:t>tations</w:t>
      </w:r>
    </w:p>
    <w:p>
      <w:pPr>
        <w:ind w:firstLine="480"/>
      </w:pPr>
      <w:r>
        <w:rPr>
          <w:rFonts w:hint="eastAsia"/>
        </w:rPr>
        <w:t>图4-</w:t>
      </w:r>
      <w:r>
        <w:t>1</w:t>
      </w:r>
      <w:r>
        <w:rPr>
          <w:rFonts w:hint="eastAsia"/>
        </w:rPr>
        <w:t>是三个基站在7月、9月、11月、次年2月、次年3月上月度总流量的使用情况，分别命名被为A、B、C。从图中我们能够看出：</w:t>
      </w:r>
    </w:p>
    <w:p>
      <w:pPr>
        <w:ind w:firstLine="480"/>
      </w:pPr>
      <w:r>
        <w:t>(</w:t>
      </w:r>
      <w:r>
        <w:rPr>
          <w:rFonts w:hint="eastAsia"/>
        </w:rPr>
        <w:t>1</w:t>
      </w:r>
      <w:r>
        <w:t xml:space="preserve">) </w:t>
      </w:r>
      <w:r>
        <w:rPr>
          <w:rFonts w:hint="eastAsia"/>
        </w:rPr>
        <w:t>基站A与基站B的流量曲线靠的很近，但是这两个基站在9月、11月、次年2月的表现却截然相反，基站A的流量走势是9月份到11月份流量上涨、11月份到次年2月份流量下跌；基站B的流量走势是9月份到11月份流量下跌、11月份到次年2月份流量上涨。我们认为将这两种类型基站划分到一类是不合理的，例如在“双十一”期间，两个基站有着相似的流量使用量，一个是流量下跌到该使用量，另一个却是流量上涨到该使用量，这两个基站对该事件产生反应是不同的，可能真是基站所处的地理位置等因素造成了其不同反应的产生，所以它们不应划分到同一类型。</w:t>
      </w:r>
    </w:p>
    <w:p>
      <w:pPr>
        <w:ind w:firstLine="480"/>
      </w:pPr>
      <w:r>
        <w:t xml:space="preserve">(2) </w:t>
      </w:r>
      <w:r>
        <w:rPr>
          <w:rFonts w:hint="eastAsia"/>
        </w:rPr>
        <w:t>基站A与基站C的流量曲线靠的稍远，但是这两个基站在9月、11月、次年2月的流量变化却非常同步。在基站A流量上涨时，基站C也跟着上涨；基站A流量下跌时，基站C也下跌，说明了这两个基站对待不同事件的反应是一致。在第三章的统计分析中，我们发现越是靠近市中心基站的流量基数就越来越大，但是基站流量的变化反映了基站自身的属性，例如学校建在郊区与建在市中心其流量基数有可能不同，但是</w:t>
      </w:r>
      <w:r>
        <w:t>7</w:t>
      </w:r>
      <w:r>
        <w:rPr>
          <w:rFonts w:hint="eastAsia"/>
        </w:rPr>
        <w:t>月份的假期来临，流量的变化是一致的。</w:t>
      </w:r>
    </w:p>
    <w:p>
      <w:pPr>
        <w:ind w:firstLine="480"/>
      </w:pPr>
      <w:r>
        <w:rPr>
          <w:rFonts w:hint="eastAsia"/>
        </w:rPr>
        <w:t>综上所述，传统聚类方法能够将类内距离相近的基站聚在一起，但是却容易忽略流量变化，特别是“双十一”、“春节”时期基站流量变化。发现基站一致性的变化是运营商能够提前做好防范准备的基础，所有有必要提出符合真实基站数据的新的聚类方法。</w:t>
      </w:r>
    </w:p>
    <w:p>
      <w:pPr>
        <w:pStyle w:val="40"/>
      </w:pPr>
      <w:bookmarkStart w:id="174" w:name="_Toc7858019"/>
      <w:r>
        <w:t>4.2  Rank-Based模式聚类方法</w:t>
      </w:r>
      <w:bookmarkEnd w:id="173"/>
      <w:bookmarkEnd w:id="174"/>
    </w:p>
    <w:p>
      <w:pPr>
        <w:ind w:firstLine="480"/>
      </w:pPr>
      <w:r>
        <w:t>本小节我们首先详细介绍基站的Rank向量表征</w:t>
      </w:r>
      <w:r>
        <w:rPr>
          <w:rFonts w:hint="eastAsia"/>
        </w:rPr>
        <w:t>的含义以及构建过程</w:t>
      </w:r>
      <w:r>
        <w:t>，之后</w:t>
      </w:r>
      <w:r>
        <w:rPr>
          <w:rFonts w:hint="eastAsia"/>
        </w:rPr>
        <w:t>利用我们提出的聚类方法将7100真实基站由小类聚成大类，并从大类中提取具体的流量模式。最后基于聚类结果我们对每一个大类流量模式的特点作出分析并给出解释。</w:t>
      </w:r>
    </w:p>
    <w:p>
      <w:pPr>
        <w:pStyle w:val="37"/>
      </w:pPr>
      <w:bookmarkStart w:id="175" w:name="_Toc7858020"/>
      <w:r>
        <w:t>4.2.1  基站Rank向量</w:t>
      </w:r>
      <w:bookmarkEnd w:id="175"/>
    </w:p>
    <w:p>
      <w:pPr>
        <w:ind w:firstLine="480"/>
      </w:pPr>
      <w:r>
        <w:t>我们首先通过例子解释基站流量的RANK向量的含义，如表</w:t>
      </w:r>
      <w:r>
        <w:rPr>
          <w:rFonts w:hint="eastAsia"/>
        </w:rPr>
        <w:t>4-</w:t>
      </w:r>
      <w:r>
        <w:t>1所示</w:t>
      </w:r>
      <w:r>
        <w:rPr>
          <w:rFonts w:hint="eastAsia"/>
        </w:rPr>
        <w:t>。</w:t>
      </w:r>
    </w:p>
    <w:p>
      <w:pPr>
        <w:spacing w:before="156" w:beforeLines="50" w:line="240" w:lineRule="auto"/>
        <w:ind w:firstLine="0" w:firstLineChars="0"/>
        <w:jc w:val="center"/>
        <w:rPr>
          <w:sz w:val="21"/>
          <w:szCs w:val="21"/>
        </w:rPr>
      </w:pPr>
      <w:r>
        <w:rPr>
          <w:sz w:val="21"/>
          <w:szCs w:val="21"/>
        </w:rPr>
        <w:t>表4-1 某基站流量示意表</w:t>
      </w:r>
    </w:p>
    <w:p>
      <w:pPr>
        <w:spacing w:after="156" w:afterLines="50" w:line="240" w:lineRule="auto"/>
        <w:ind w:firstLine="0" w:firstLineChars="0"/>
        <w:jc w:val="center"/>
        <w:rPr>
          <w:sz w:val="21"/>
          <w:szCs w:val="21"/>
        </w:rPr>
      </w:pPr>
      <w:r>
        <w:rPr>
          <w:sz w:val="21"/>
          <w:szCs w:val="21"/>
        </w:rPr>
        <w:t>Table 4-1 A Base Station Traffic Diagram</w:t>
      </w:r>
    </w:p>
    <w:tbl>
      <w:tblPr>
        <w:tblStyle w:val="24"/>
        <w:tblW w:w="9286" w:type="dxa"/>
        <w:tblInd w:w="0" w:type="dxa"/>
        <w:tblLayout w:type="fixed"/>
        <w:tblCellMar>
          <w:top w:w="0" w:type="dxa"/>
          <w:left w:w="108" w:type="dxa"/>
          <w:bottom w:w="0" w:type="dxa"/>
          <w:right w:w="108" w:type="dxa"/>
        </w:tblCellMar>
      </w:tblPr>
      <w:tblGrid>
        <w:gridCol w:w="1331"/>
        <w:gridCol w:w="1332"/>
        <w:gridCol w:w="1330"/>
        <w:gridCol w:w="1077"/>
        <w:gridCol w:w="1417"/>
        <w:gridCol w:w="1276"/>
        <w:gridCol w:w="193"/>
        <w:gridCol w:w="1330"/>
      </w:tblGrid>
      <w:tr>
        <w:tblPrEx>
          <w:tblLayout w:type="fixed"/>
          <w:tblCellMar>
            <w:top w:w="0" w:type="dxa"/>
            <w:left w:w="108" w:type="dxa"/>
            <w:bottom w:w="0" w:type="dxa"/>
            <w:right w:w="108" w:type="dxa"/>
          </w:tblCellMar>
        </w:tblPrEx>
        <w:tc>
          <w:tcPr>
            <w:tcW w:w="1331" w:type="dxa"/>
            <w:tcBorders>
              <w:top w:val="single" w:color="auto" w:sz="12" w:space="0"/>
              <w:bottom w:val="single" w:color="auto" w:sz="4" w:space="0"/>
            </w:tcBorders>
            <w:shd w:val="clear" w:color="auto" w:fill="auto"/>
          </w:tcPr>
          <w:p>
            <w:pPr>
              <w:ind w:firstLine="0" w:firstLineChars="0"/>
              <w:jc w:val="center"/>
            </w:pPr>
            <w:r>
              <w:t>基站序号</w:t>
            </w:r>
          </w:p>
        </w:tc>
        <w:tc>
          <w:tcPr>
            <w:tcW w:w="1332" w:type="dxa"/>
            <w:tcBorders>
              <w:top w:val="single" w:color="auto" w:sz="12" w:space="0"/>
              <w:bottom w:val="single" w:color="auto" w:sz="4" w:space="0"/>
            </w:tcBorders>
            <w:shd w:val="clear" w:color="auto" w:fill="auto"/>
          </w:tcPr>
          <w:p>
            <w:pPr>
              <w:ind w:firstLine="0" w:firstLineChars="0"/>
              <w:jc w:val="center"/>
            </w:pPr>
            <w:r>
              <w:t>7月</w:t>
            </w:r>
          </w:p>
        </w:tc>
        <w:tc>
          <w:tcPr>
            <w:tcW w:w="1330" w:type="dxa"/>
            <w:tcBorders>
              <w:top w:val="single" w:color="auto" w:sz="12" w:space="0"/>
              <w:bottom w:val="single" w:color="auto" w:sz="4" w:space="0"/>
            </w:tcBorders>
            <w:shd w:val="clear" w:color="auto" w:fill="auto"/>
          </w:tcPr>
          <w:p>
            <w:pPr>
              <w:ind w:firstLine="0" w:firstLineChars="0"/>
              <w:jc w:val="center"/>
            </w:pPr>
            <w:r>
              <w:t>9月</w:t>
            </w:r>
          </w:p>
        </w:tc>
        <w:tc>
          <w:tcPr>
            <w:tcW w:w="1077" w:type="dxa"/>
            <w:tcBorders>
              <w:top w:val="single" w:color="auto" w:sz="12" w:space="0"/>
              <w:bottom w:val="single" w:color="auto" w:sz="4" w:space="0"/>
            </w:tcBorders>
            <w:shd w:val="clear" w:color="auto" w:fill="auto"/>
          </w:tcPr>
          <w:p>
            <w:pPr>
              <w:ind w:firstLine="0" w:firstLineChars="0"/>
              <w:jc w:val="center"/>
            </w:pPr>
            <w:r>
              <w:t>11月</w:t>
            </w:r>
          </w:p>
        </w:tc>
        <w:tc>
          <w:tcPr>
            <w:tcW w:w="1417" w:type="dxa"/>
            <w:tcBorders>
              <w:top w:val="single" w:color="auto" w:sz="12" w:space="0"/>
              <w:bottom w:val="single" w:color="auto" w:sz="4" w:space="0"/>
            </w:tcBorders>
            <w:shd w:val="clear" w:color="auto" w:fill="auto"/>
          </w:tcPr>
          <w:p>
            <w:pPr>
              <w:ind w:firstLine="0" w:firstLineChars="0"/>
              <w:jc w:val="center"/>
            </w:pPr>
            <w:r>
              <w:t>次年2月</w:t>
            </w:r>
          </w:p>
        </w:tc>
        <w:tc>
          <w:tcPr>
            <w:tcW w:w="1276" w:type="dxa"/>
            <w:tcBorders>
              <w:top w:val="single" w:color="auto" w:sz="12" w:space="0"/>
              <w:bottom w:val="single" w:color="auto" w:sz="4" w:space="0"/>
            </w:tcBorders>
          </w:tcPr>
          <w:p>
            <w:pPr>
              <w:ind w:firstLine="0" w:firstLineChars="0"/>
              <w:jc w:val="center"/>
            </w:pPr>
            <w:r>
              <w:t>次年3月</w:t>
            </w:r>
          </w:p>
        </w:tc>
        <w:tc>
          <w:tcPr>
            <w:tcW w:w="1523" w:type="dxa"/>
            <w:gridSpan w:val="2"/>
            <w:tcBorders>
              <w:top w:val="single" w:color="auto" w:sz="12" w:space="0"/>
              <w:bottom w:val="single" w:color="auto" w:sz="4" w:space="0"/>
            </w:tcBorders>
            <w:shd w:val="clear" w:color="auto" w:fill="auto"/>
          </w:tcPr>
          <w:p>
            <w:pPr>
              <w:ind w:firstLine="0" w:firstLineChars="0"/>
              <w:jc w:val="center"/>
            </w:pPr>
            <w:r>
              <w:t>RANK向量</w:t>
            </w:r>
          </w:p>
        </w:tc>
      </w:tr>
      <w:tr>
        <w:tblPrEx>
          <w:tblLayout w:type="fixed"/>
          <w:tblCellMar>
            <w:top w:w="0" w:type="dxa"/>
            <w:left w:w="108" w:type="dxa"/>
            <w:bottom w:w="0" w:type="dxa"/>
            <w:right w:w="108" w:type="dxa"/>
          </w:tblCellMar>
        </w:tblPrEx>
        <w:tc>
          <w:tcPr>
            <w:tcW w:w="1331" w:type="dxa"/>
            <w:tcBorders>
              <w:bottom w:val="single" w:color="auto" w:sz="12" w:space="0"/>
            </w:tcBorders>
            <w:shd w:val="clear" w:color="auto" w:fill="auto"/>
          </w:tcPr>
          <w:p>
            <w:pPr>
              <w:ind w:firstLine="0" w:firstLineChars="0"/>
              <w:jc w:val="center"/>
            </w:pPr>
            <w:r>
              <w:t>A1</w:t>
            </w:r>
          </w:p>
        </w:tc>
        <w:tc>
          <w:tcPr>
            <w:tcW w:w="1332" w:type="dxa"/>
            <w:tcBorders>
              <w:bottom w:val="single" w:color="auto" w:sz="12" w:space="0"/>
            </w:tcBorders>
            <w:shd w:val="clear" w:color="auto" w:fill="auto"/>
          </w:tcPr>
          <w:p>
            <w:pPr>
              <w:ind w:firstLine="0" w:firstLineChars="0"/>
              <w:jc w:val="center"/>
            </w:pPr>
            <w:r>
              <w:t>100GB</w:t>
            </w:r>
          </w:p>
        </w:tc>
        <w:tc>
          <w:tcPr>
            <w:tcW w:w="1330" w:type="dxa"/>
            <w:tcBorders>
              <w:bottom w:val="single" w:color="auto" w:sz="12" w:space="0"/>
            </w:tcBorders>
            <w:shd w:val="clear" w:color="auto" w:fill="auto"/>
          </w:tcPr>
          <w:p>
            <w:pPr>
              <w:ind w:firstLine="0" w:firstLineChars="0"/>
              <w:jc w:val="center"/>
            </w:pPr>
            <w:r>
              <w:t>110GB</w:t>
            </w:r>
          </w:p>
        </w:tc>
        <w:tc>
          <w:tcPr>
            <w:tcW w:w="1077" w:type="dxa"/>
            <w:tcBorders>
              <w:bottom w:val="single" w:color="auto" w:sz="12" w:space="0"/>
            </w:tcBorders>
            <w:shd w:val="clear" w:color="auto" w:fill="auto"/>
          </w:tcPr>
          <w:p>
            <w:pPr>
              <w:ind w:firstLine="0" w:firstLineChars="0"/>
              <w:jc w:val="center"/>
            </w:pPr>
            <w:r>
              <w:t>200GB</w:t>
            </w:r>
          </w:p>
        </w:tc>
        <w:tc>
          <w:tcPr>
            <w:tcW w:w="1417" w:type="dxa"/>
            <w:tcBorders>
              <w:bottom w:val="single" w:color="auto" w:sz="12" w:space="0"/>
            </w:tcBorders>
            <w:shd w:val="clear" w:color="auto" w:fill="auto"/>
          </w:tcPr>
          <w:p>
            <w:pPr>
              <w:ind w:firstLine="0" w:firstLineChars="0"/>
              <w:jc w:val="center"/>
            </w:pPr>
            <w:r>
              <w:t>50GB</w:t>
            </w:r>
          </w:p>
        </w:tc>
        <w:tc>
          <w:tcPr>
            <w:tcW w:w="1469" w:type="dxa"/>
            <w:gridSpan w:val="2"/>
            <w:tcBorders>
              <w:bottom w:val="single" w:color="auto" w:sz="12" w:space="0"/>
            </w:tcBorders>
          </w:tcPr>
          <w:p>
            <w:pPr>
              <w:ind w:firstLine="0" w:firstLineChars="0"/>
              <w:jc w:val="center"/>
            </w:pPr>
            <w:r>
              <w:t>210GB</w:t>
            </w:r>
          </w:p>
        </w:tc>
        <w:tc>
          <w:tcPr>
            <w:tcW w:w="1330" w:type="dxa"/>
            <w:tcBorders>
              <w:bottom w:val="single" w:color="auto" w:sz="12" w:space="0"/>
            </w:tcBorders>
            <w:shd w:val="clear" w:color="auto" w:fill="auto"/>
          </w:tcPr>
          <w:p>
            <w:pPr>
              <w:ind w:firstLine="0" w:firstLineChars="0"/>
              <w:jc w:val="center"/>
            </w:pPr>
            <w:r>
              <w:t>[2,3,4,1,5]</w:t>
            </w:r>
          </w:p>
        </w:tc>
      </w:tr>
    </w:tbl>
    <w:p>
      <w:pPr>
        <w:spacing w:before="156" w:beforeLines="50"/>
        <w:ind w:firstLine="480"/>
      </w:pPr>
      <w:r>
        <w:t>表</w:t>
      </w:r>
      <w:r>
        <w:rPr>
          <w:rFonts w:hint="eastAsia"/>
        </w:rPr>
        <w:t>4-</w:t>
      </w:r>
      <w:r>
        <w:t>1是某基站各月份的使用情况，由此我们可以得出该基站流量的RANK向量为[2,3,4,1,5]，其中向量</w:t>
      </w:r>
      <w:r>
        <w:rPr>
          <w:rFonts w:hint="eastAsia"/>
        </w:rPr>
        <w:t>里面的</w:t>
      </w:r>
      <w:r>
        <w:t>“2”表示7月的流量</w:t>
      </w:r>
      <w:r>
        <w:rPr>
          <w:rFonts w:hint="eastAsia"/>
        </w:rPr>
        <w:t>在所有月份的</w:t>
      </w:r>
      <w:r>
        <w:t>排名为第2名，其中向量“3”表示9月的流量排名为第3名，以此类推。各维度的数值越高表示该月份基站流量越高。</w:t>
      </w:r>
    </w:p>
    <w:p>
      <w:pPr>
        <w:ind w:firstLine="480"/>
      </w:pPr>
      <w:r>
        <w:t>使用RANK向量表征基站流量的原因是：真实运营商基站流量数据时序点较少，对于短期时间序列（不存在强周期性），描述它的波形主要是依靠它自身流量的相对位置，而我们这种基于RANK向量的分类方式正是抓住了短期时间序列的这种特点。</w:t>
      </w:r>
    </w:p>
    <w:p>
      <w:pPr>
        <w:ind w:firstLine="480"/>
      </w:pPr>
    </w:p>
    <w:p>
      <w:pPr>
        <w:pStyle w:val="37"/>
      </w:pPr>
      <w:bookmarkStart w:id="176" w:name="_Toc7858021"/>
      <w:r>
        <w:t>4.2.2  模式聚类过程</w:t>
      </w:r>
      <w:bookmarkEnd w:id="176"/>
    </w:p>
    <w:p>
      <w:pPr>
        <w:ind w:firstLine="480"/>
      </w:pPr>
      <w:r>
        <w:t>下面我们将多步骤地对运营商7110个真实基站数据使用Rank-Based聚类方法进行聚类，具体的步骤如下：</w:t>
      </w:r>
    </w:p>
    <w:p>
      <w:pPr>
        <w:ind w:firstLine="480"/>
      </w:pPr>
      <w:r>
        <w:t>(</w:t>
      </w:r>
      <w:r>
        <w:rPr>
          <w:rFonts w:hint="eastAsia"/>
        </w:rPr>
        <w:t>1</w:t>
      </w:r>
      <w:r>
        <w:t xml:space="preserve">) </w:t>
      </w:r>
      <w:r>
        <w:rPr>
          <w:rFonts w:hint="eastAsia"/>
        </w:rPr>
        <w:t>对所有基站的流量进行归一化。其原因是：从</w:t>
      </w:r>
      <w:r>
        <w:t>空间分布测量中我们发现</w:t>
      </w:r>
      <w:r>
        <w:rPr>
          <w:rFonts w:hint="eastAsia"/>
        </w:rPr>
        <w:t>，</w:t>
      </w:r>
      <w:r>
        <w:t>市中心周边地区分布大量低流量基站，</w:t>
      </w:r>
      <w:r>
        <w:rPr>
          <w:rFonts w:hint="eastAsia"/>
        </w:rPr>
        <w:t>造成该现象的原因是市中心</w:t>
      </w:r>
      <w:r>
        <w:t>周边人口</w:t>
      </w:r>
      <w:r>
        <w:rPr>
          <w:rFonts w:hint="eastAsia"/>
        </w:rPr>
        <w:t>稀少</w:t>
      </w:r>
      <w:r>
        <w:t>，基站流量使用量低</w:t>
      </w:r>
      <w:r>
        <w:rPr>
          <w:rFonts w:hint="eastAsia"/>
        </w:rPr>
        <w:t>。</w:t>
      </w:r>
      <w:r>
        <w:t>市中心基站</w:t>
      </w:r>
      <w:r>
        <w:rPr>
          <w:rFonts w:hint="eastAsia"/>
        </w:rPr>
        <w:t>人口密集其流量普遍</w:t>
      </w:r>
      <w:r>
        <w:t>偏高，</w:t>
      </w:r>
      <w:r>
        <w:rPr>
          <w:rFonts w:hint="eastAsia"/>
        </w:rPr>
        <w:t>同时基站之间流量极差非常大，</w:t>
      </w:r>
      <w:r>
        <w:t>部分基站流量能达到</w:t>
      </w:r>
      <w:r>
        <w:rPr>
          <w:rFonts w:hint="eastAsia"/>
        </w:rPr>
        <w:t>极高的值</w:t>
      </w:r>
      <w:r>
        <w:t>。为了凸显基站流量自身的变化</w:t>
      </w:r>
      <w:r>
        <w:rPr>
          <w:rFonts w:hint="eastAsia"/>
        </w:rPr>
        <w:t>，</w:t>
      </w:r>
      <w:r>
        <w:t>我们对基站流量按照自身流量的最大值做了大小归一化。</w:t>
      </w:r>
    </w:p>
    <w:p>
      <w:pPr>
        <w:ind w:firstLine="480"/>
      </w:pPr>
      <w:r>
        <w:drawing>
          <wp:anchor distT="0" distB="0" distL="114300" distR="114300" simplePos="0" relativeHeight="251641856" behindDoc="0" locked="0" layoutInCell="1" allowOverlap="1">
            <wp:simplePos x="0" y="0"/>
            <wp:positionH relativeFrom="margin">
              <wp:align>center</wp:align>
            </wp:positionH>
            <wp:positionV relativeFrom="paragraph">
              <wp:posOffset>1381125</wp:posOffset>
            </wp:positionV>
            <wp:extent cx="4213860" cy="3913505"/>
            <wp:effectExtent l="0" t="0" r="0" b="0"/>
            <wp:wrapTopAndBottom/>
            <wp:docPr id="19" name="图片 5" descr="六类分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六类分类图"/>
                    <pic:cNvPicPr>
                      <a:picLocks noChangeAspect="1"/>
                    </pic:cNvPicPr>
                  </pic:nvPicPr>
                  <pic:blipFill>
                    <a:blip r:embed="rId54"/>
                    <a:stretch>
                      <a:fillRect/>
                    </a:stretch>
                  </pic:blipFill>
                  <pic:spPr>
                    <a:xfrm>
                      <a:off x="0" y="0"/>
                      <a:ext cx="4213939" cy="3913200"/>
                    </a:xfrm>
                    <a:prstGeom prst="rect">
                      <a:avLst/>
                    </a:prstGeom>
                    <a:noFill/>
                    <a:ln>
                      <a:noFill/>
                    </a:ln>
                  </pic:spPr>
                </pic:pic>
              </a:graphicData>
            </a:graphic>
          </wp:anchor>
        </w:drawing>
      </w:r>
      <w:r>
        <w:t>(</w:t>
      </w:r>
      <w:r>
        <w:rPr>
          <w:rFonts w:hint="eastAsia"/>
        </w:rPr>
        <w:t>2</w:t>
      </w:r>
      <w:r>
        <w:t xml:space="preserve">) </w:t>
      </w:r>
      <w:r>
        <w:rPr>
          <w:rFonts w:hint="eastAsia"/>
        </w:rPr>
        <w:t>计算基站Rank向量，并将具有相同Rank向量的基站合并。7</w:t>
      </w:r>
      <w:r>
        <w:t>110</w:t>
      </w:r>
      <w:r>
        <w:rPr>
          <w:rFonts w:hint="eastAsia"/>
        </w:rPr>
        <w:t>个基站将会计算出7</w:t>
      </w:r>
      <w:r>
        <w:t>110</w:t>
      </w:r>
      <w:r>
        <w:rPr>
          <w:rFonts w:hint="eastAsia"/>
        </w:rPr>
        <w:t>个Rank向量，但是其中有许多重复的Rank向量，基站具有相同的Rank向量表示基站的流量变化特点一致。</w:t>
      </w:r>
      <w:r>
        <w:t>据统计</w:t>
      </w:r>
      <w:r>
        <w:rPr>
          <w:rFonts w:hint="eastAsia"/>
        </w:rPr>
        <w:t>，我们</w:t>
      </w:r>
      <w:r>
        <w:t>按照</w:t>
      </w:r>
      <w:r>
        <w:rPr>
          <w:rFonts w:hint="eastAsia"/>
        </w:rPr>
        <w:t>每一种Rank向量所包含的</w:t>
      </w:r>
      <w:r>
        <w:t>基站数量排序后，80%的基站都能划归到前35</w:t>
      </w:r>
      <w:r>
        <w:rPr>
          <w:rFonts w:hint="eastAsia"/>
        </w:rPr>
        <w:t>种</w:t>
      </w:r>
      <w:r>
        <w:t>基站模式中</w:t>
      </w:r>
      <w:r>
        <w:rPr>
          <w:rFonts w:hint="eastAsia"/>
        </w:rPr>
        <w:t>。</w:t>
      </w:r>
      <w:r>
        <w:t>最终我们将</w:t>
      </w:r>
      <w:r>
        <w:rPr>
          <w:rFonts w:hint="eastAsia"/>
        </w:rPr>
        <w:t>基站数量排名前</w:t>
      </w:r>
      <w:r>
        <w:t>50</w:t>
      </w:r>
      <w:r>
        <w:rPr>
          <w:rFonts w:hint="eastAsia"/>
        </w:rPr>
        <w:t>的Rank向量作为我们模式聚类的小类模式，合并的结果如图4-2所示。</w:t>
      </w:r>
    </w:p>
    <w:p>
      <w:pPr>
        <w:spacing w:before="156" w:beforeLines="50" w:line="240" w:lineRule="auto"/>
        <w:ind w:firstLine="420"/>
        <w:jc w:val="center"/>
        <w:rPr>
          <w:sz w:val="21"/>
          <w:szCs w:val="21"/>
        </w:rPr>
      </w:pPr>
      <w:r>
        <w:rPr>
          <w:sz w:val="21"/>
          <w:szCs w:val="21"/>
        </w:rPr>
        <w:t>图</w:t>
      </w:r>
      <w:r>
        <w:rPr>
          <w:rFonts w:hint="eastAsia"/>
          <w:sz w:val="21"/>
          <w:szCs w:val="21"/>
        </w:rPr>
        <w:t>4</w:t>
      </w:r>
      <w:r>
        <w:rPr>
          <w:sz w:val="21"/>
          <w:szCs w:val="21"/>
        </w:rPr>
        <w:t>-</w:t>
      </w:r>
      <w:r>
        <w:rPr>
          <w:rFonts w:hint="eastAsia"/>
          <w:sz w:val="21"/>
          <w:szCs w:val="21"/>
        </w:rPr>
        <w:t>2</w:t>
      </w:r>
      <w:r>
        <w:rPr>
          <w:sz w:val="21"/>
          <w:szCs w:val="21"/>
        </w:rPr>
        <w:t xml:space="preserve"> </w:t>
      </w:r>
      <w:r>
        <w:rPr>
          <w:rFonts w:hint="eastAsia"/>
          <w:sz w:val="21"/>
          <w:szCs w:val="21"/>
        </w:rPr>
        <w:t>排名前50的小类模式</w:t>
      </w:r>
    </w:p>
    <w:p>
      <w:pPr>
        <w:spacing w:after="156" w:afterLines="50" w:line="240" w:lineRule="auto"/>
        <w:ind w:firstLine="420"/>
        <w:jc w:val="center"/>
        <w:rPr>
          <w:sz w:val="21"/>
          <w:szCs w:val="21"/>
        </w:rPr>
      </w:pPr>
      <w:r>
        <w:rPr>
          <w:sz w:val="21"/>
          <w:szCs w:val="21"/>
        </w:rPr>
        <w:t xml:space="preserve">Figure </w:t>
      </w:r>
      <w:r>
        <w:rPr>
          <w:rFonts w:hint="eastAsia"/>
          <w:sz w:val="21"/>
          <w:szCs w:val="21"/>
        </w:rPr>
        <w:t>4</w:t>
      </w:r>
      <w:r>
        <w:rPr>
          <w:sz w:val="21"/>
          <w:szCs w:val="21"/>
        </w:rPr>
        <w:t>-</w:t>
      </w:r>
      <w:r>
        <w:rPr>
          <w:rFonts w:hint="eastAsia"/>
          <w:sz w:val="21"/>
          <w:szCs w:val="21"/>
        </w:rPr>
        <w:t>2</w:t>
      </w:r>
      <w:r>
        <w:rPr>
          <w:sz w:val="21"/>
          <w:szCs w:val="21"/>
        </w:rPr>
        <w:t xml:space="preserve"> </w:t>
      </w:r>
      <w:r>
        <w:rPr>
          <w:rFonts w:hint="eastAsia"/>
          <w:sz w:val="21"/>
          <w:szCs w:val="21"/>
        </w:rPr>
        <w:t>The Top 50 Subclass Patterns</w:t>
      </w:r>
    </w:p>
    <w:p>
      <w:pPr>
        <w:ind w:firstLine="480"/>
      </w:pPr>
      <w:r>
        <w:rPr>
          <w:rFonts w:hint="eastAsia"/>
        </w:rPr>
        <w:t>图4-</w:t>
      </w:r>
      <w:r>
        <w:t>2</w:t>
      </w:r>
      <w:r>
        <w:rPr>
          <w:rFonts w:hint="eastAsia"/>
        </w:rPr>
        <w:t>中有</w:t>
      </w:r>
      <w:r>
        <w:t>50</w:t>
      </w:r>
      <w:r>
        <w:rPr>
          <w:rFonts w:hint="eastAsia"/>
        </w:rPr>
        <w:t>个子图，表示5</w:t>
      </w:r>
      <w:r>
        <w:t>0</w:t>
      </w:r>
      <w:r>
        <w:rPr>
          <w:rFonts w:hint="eastAsia"/>
        </w:rPr>
        <w:t>种不同的Rank向量，每个子图包含了具有相同Rank向量的基站。子图标题由两部分构成：子图的Rank向量和所包含基站的数目。这里值得说明的是，在图4-</w:t>
      </w:r>
      <w:r>
        <w:t>2</w:t>
      </w:r>
      <w:r>
        <w:rPr>
          <w:rFonts w:hint="eastAsia"/>
        </w:rPr>
        <w:t>中5</w:t>
      </w:r>
      <w:r>
        <w:t>0</w:t>
      </w:r>
      <w:r>
        <w:rPr>
          <w:rFonts w:hint="eastAsia"/>
        </w:rPr>
        <w:t>种小类模式的排列位置暂与模式挖掘无关，只是为了与后文协调一致。</w:t>
      </w:r>
    </w:p>
    <w:p>
      <w:pPr>
        <w:ind w:firstLine="480"/>
      </w:pPr>
      <w:r>
        <w:t>(</w:t>
      </w:r>
      <w:r>
        <w:rPr>
          <w:rFonts w:hint="eastAsia"/>
        </w:rPr>
        <w:t>3</w:t>
      </w:r>
      <w:r>
        <w:t xml:space="preserve">) </w:t>
      </w:r>
      <w:r>
        <w:rPr>
          <w:rFonts w:hint="eastAsia"/>
        </w:rPr>
        <w:t>将50个小类模式再合并成大类模式，下面我们将分基本思路和具体做法来讨论：</w:t>
      </w:r>
    </w:p>
    <w:p>
      <w:pPr>
        <w:ind w:left="482" w:firstLine="480"/>
      </w:pPr>
      <w:r>
        <w:t>1) 基本思路是；首先从50小类模式中找到与总体流量模式特点一致的模式作为“流量模板”，剩余小类模式能否合成出一个新大类主要取决于两点：一个是要有与“流量模板”不同的特点，另一个是包含的基站数量要够。</w:t>
      </w:r>
    </w:p>
    <w:p>
      <w:pPr>
        <w:ind w:left="482" w:firstLine="480"/>
      </w:pPr>
      <w:r>
        <w:drawing>
          <wp:anchor distT="0" distB="0" distL="114300" distR="114300" simplePos="0" relativeHeight="251648000" behindDoc="0" locked="0" layoutInCell="1" allowOverlap="1">
            <wp:simplePos x="0" y="0"/>
            <wp:positionH relativeFrom="margin">
              <wp:posOffset>868045</wp:posOffset>
            </wp:positionH>
            <wp:positionV relativeFrom="paragraph">
              <wp:posOffset>2583180</wp:posOffset>
            </wp:positionV>
            <wp:extent cx="4211955" cy="3911600"/>
            <wp:effectExtent l="0" t="0" r="0" b="0"/>
            <wp:wrapTopAndBottom/>
            <wp:docPr id="6" name="图片 18" descr="six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sixclass"/>
                    <pic:cNvPicPr>
                      <a:picLocks noChangeAspect="1"/>
                    </pic:cNvPicPr>
                  </pic:nvPicPr>
                  <pic:blipFill>
                    <a:blip r:embed="rId55"/>
                    <a:stretch>
                      <a:fillRect/>
                    </a:stretch>
                  </pic:blipFill>
                  <pic:spPr>
                    <a:xfrm>
                      <a:off x="0" y="0"/>
                      <a:ext cx="4211955" cy="3911600"/>
                    </a:xfrm>
                    <a:prstGeom prst="rect">
                      <a:avLst/>
                    </a:prstGeom>
                    <a:noFill/>
                    <a:ln>
                      <a:noFill/>
                    </a:ln>
                  </pic:spPr>
                </pic:pic>
              </a:graphicData>
            </a:graphic>
          </wp:anchor>
        </w:drawing>
      </w:r>
      <w:r>
        <w:t>2) 具体做法是：首先前文介绍了总体流量增长模式的特点主要有：11月份流量突然增加、2月份流量</w:t>
      </w:r>
      <w:r>
        <w:rPr>
          <w:rFonts w:hint="eastAsia"/>
        </w:rPr>
        <w:t>突然减小、7,9,11月份流量呈现增长趋势。根据以上三个特点，我们能够从50小类模式中分离出符合特点的小类模式（6种），并且合成一个大类模式：“主模板流量型”。它的含义是大部分基站符合的流量模式，经统计单这一种流量类型就包含了</w:t>
      </w:r>
      <w:r>
        <w:t>38.6%</w:t>
      </w:r>
      <w:r>
        <w:rPr>
          <w:rFonts w:hint="eastAsia"/>
        </w:rPr>
        <w:t>的基站。然后我们逐一比对上述的三个特点，例如特点是“11月份流量突然增加”，我们在剩下的基站Rank向量中搜索不同于该特点的基站，同时在保证该类型具有一定数量基站的要求下，我们发现了如下图</w:t>
      </w:r>
      <w:r>
        <w:t>4</w:t>
      </w:r>
      <w:r>
        <w:rPr>
          <w:rFonts w:hint="eastAsia"/>
        </w:rPr>
        <w:t>-</w:t>
      </w:r>
      <w:r>
        <w:t>3</w:t>
      </w:r>
      <w:r>
        <w:rPr>
          <w:rFonts w:hint="eastAsia"/>
        </w:rPr>
        <w:t>所示从左数第四列的流量类型，它的特点是流量</w:t>
      </w:r>
      <w:r>
        <w:t>持续上升，11月份</w:t>
      </w:r>
      <w:r>
        <w:rPr>
          <w:rFonts w:hint="eastAsia"/>
        </w:rPr>
        <w:t>（包含</w:t>
      </w:r>
      <w:r>
        <w:t>“双11”</w:t>
      </w:r>
      <w:r>
        <w:rPr>
          <w:rFonts w:hint="eastAsia"/>
        </w:rPr>
        <w:t>）</w:t>
      </w:r>
      <w:r>
        <w:t>流量达到</w:t>
      </w:r>
      <w:r>
        <w:rPr>
          <w:rFonts w:hint="eastAsia"/>
        </w:rPr>
        <w:t>所有月份最高值。我们以此类推总共可以得到6大类流量模式，同时我们将剩余20%的基站划归为“其他类型”，所有类型</w:t>
      </w:r>
      <w:r>
        <w:t>如图</w:t>
      </w:r>
      <w:r>
        <w:rPr>
          <w:rFonts w:hint="eastAsia"/>
        </w:rPr>
        <w:t>4-3</w:t>
      </w:r>
      <w:r>
        <w:t>所示</w:t>
      </w:r>
      <w:r>
        <w:rPr>
          <w:rFonts w:hint="eastAsia"/>
        </w:rPr>
        <w:t>。</w:t>
      </w:r>
    </w:p>
    <w:p>
      <w:pPr>
        <w:spacing w:before="156" w:beforeLines="50" w:line="240" w:lineRule="auto"/>
        <w:ind w:firstLine="420"/>
        <w:jc w:val="center"/>
        <w:rPr>
          <w:sz w:val="21"/>
          <w:szCs w:val="21"/>
        </w:rPr>
      </w:pPr>
      <w:r>
        <w:rPr>
          <w:sz w:val="21"/>
          <w:szCs w:val="21"/>
        </w:rPr>
        <w:t>图</w:t>
      </w:r>
      <w:r>
        <w:rPr>
          <w:rFonts w:hint="eastAsia"/>
          <w:sz w:val="21"/>
          <w:szCs w:val="21"/>
        </w:rPr>
        <w:t>4</w:t>
      </w:r>
      <w:r>
        <w:rPr>
          <w:sz w:val="21"/>
          <w:szCs w:val="21"/>
        </w:rPr>
        <w:t>-</w:t>
      </w:r>
      <w:r>
        <w:rPr>
          <w:rFonts w:hint="eastAsia"/>
          <w:sz w:val="21"/>
          <w:szCs w:val="21"/>
        </w:rPr>
        <w:t>3取均值后的前50名小类模式</w:t>
      </w:r>
    </w:p>
    <w:p>
      <w:pPr>
        <w:spacing w:after="156" w:afterLines="50" w:line="240" w:lineRule="auto"/>
        <w:ind w:firstLine="420"/>
        <w:jc w:val="center"/>
        <w:rPr>
          <w:sz w:val="21"/>
          <w:szCs w:val="21"/>
        </w:rPr>
      </w:pPr>
      <w:r>
        <w:rPr>
          <w:sz w:val="21"/>
          <w:szCs w:val="21"/>
        </w:rPr>
        <w:t xml:space="preserve">Figure </w:t>
      </w:r>
      <w:r>
        <w:rPr>
          <w:rFonts w:hint="eastAsia"/>
          <w:sz w:val="21"/>
          <w:szCs w:val="21"/>
        </w:rPr>
        <w:t>4</w:t>
      </w:r>
      <w:r>
        <w:rPr>
          <w:sz w:val="21"/>
          <w:szCs w:val="21"/>
        </w:rPr>
        <w:t>-</w:t>
      </w:r>
      <w:r>
        <w:rPr>
          <w:rFonts w:hint="eastAsia"/>
          <w:sz w:val="21"/>
          <w:szCs w:val="21"/>
        </w:rPr>
        <w:t>3</w:t>
      </w:r>
      <w:r>
        <w:rPr>
          <w:sz w:val="21"/>
          <w:szCs w:val="21"/>
        </w:rPr>
        <w:t xml:space="preserve"> </w:t>
      </w:r>
      <w:r>
        <w:rPr>
          <w:rFonts w:hint="eastAsia"/>
          <w:sz w:val="21"/>
          <w:szCs w:val="21"/>
        </w:rPr>
        <w:t>The Top 50 Subclass Patterns After Taking The Mean</w:t>
      </w:r>
    </w:p>
    <w:p>
      <w:pPr>
        <w:ind w:firstLine="480"/>
      </w:pPr>
      <w:r>
        <w:rPr>
          <w:rFonts w:hint="eastAsia"/>
        </w:rPr>
        <w:t>图4</w:t>
      </w:r>
      <w:r>
        <w:t>-</w:t>
      </w:r>
      <w:r>
        <w:rPr>
          <w:rFonts w:hint="eastAsia"/>
        </w:rPr>
        <w:t>3为</w:t>
      </w:r>
      <w:r>
        <w:t>50个小类模式合并成6大类模式的结果图。图中每一列表示一种流量模式大类，同时该大类又包含一定数量的子类流量模式。从图中我们能够看出每个子类之间波形具有相似性，大类之间具有区分性。每个子图是该Rank向量下包含的基站在各个月份上求取流量均值的结果，代表了该Rank向量实际变化特点。</w:t>
      </w:r>
    </w:p>
    <w:p>
      <w:pPr>
        <w:ind w:firstLine="480"/>
      </w:pPr>
      <w:r>
        <w:drawing>
          <wp:anchor distT="0" distB="0" distL="114300" distR="114300" simplePos="0" relativeHeight="251669504" behindDoc="0" locked="0" layoutInCell="1" allowOverlap="1">
            <wp:simplePos x="0" y="0"/>
            <wp:positionH relativeFrom="margin">
              <wp:align>center</wp:align>
            </wp:positionH>
            <wp:positionV relativeFrom="paragraph">
              <wp:posOffset>1066165</wp:posOffset>
            </wp:positionV>
            <wp:extent cx="4152265" cy="2264410"/>
            <wp:effectExtent l="0" t="0" r="635" b="2540"/>
            <wp:wrapTopAndBottom/>
            <wp:docPr id="22" name="图片 22" descr="六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六类"/>
                    <pic:cNvPicPr>
                      <a:picLocks noChangeAspect="1"/>
                    </pic:cNvPicPr>
                  </pic:nvPicPr>
                  <pic:blipFill>
                    <a:blip r:embed="rId56"/>
                    <a:stretch>
                      <a:fillRect/>
                    </a:stretch>
                  </pic:blipFill>
                  <pic:spPr>
                    <a:xfrm>
                      <a:off x="0" y="0"/>
                      <a:ext cx="4152265" cy="2264410"/>
                    </a:xfrm>
                    <a:prstGeom prst="rect">
                      <a:avLst/>
                    </a:prstGeom>
                  </pic:spPr>
                </pic:pic>
              </a:graphicData>
            </a:graphic>
          </wp:anchor>
        </w:drawing>
      </w:r>
      <w:r>
        <w:t>(</w:t>
      </w:r>
      <w:r>
        <w:rPr>
          <w:rFonts w:hint="eastAsia"/>
        </w:rPr>
        <w:t>4</w:t>
      </w:r>
      <w:r>
        <w:t>) 获取流量模式大类的波形特点。具体做法是：我们将每一个流量模式大类的基站聚合在一起，求取在各个月份上的流量均值。例如在图11中同属第一列的子模式均属于同一个流量模式大类，我们对这些基站在各个月份上求取流量的均值，对上述所有流量模式大类均做该操作即可得到图</w:t>
      </w:r>
      <w:r>
        <w:rPr>
          <w:rFonts w:hint="eastAsia"/>
        </w:rPr>
        <w:t>4-4：</w:t>
      </w:r>
    </w:p>
    <w:p>
      <w:pPr>
        <w:spacing w:before="156" w:beforeLines="50" w:line="240" w:lineRule="auto"/>
        <w:ind w:firstLine="420"/>
        <w:jc w:val="center"/>
        <w:rPr>
          <w:sz w:val="21"/>
          <w:szCs w:val="21"/>
        </w:rPr>
      </w:pPr>
      <w:r>
        <w:rPr>
          <w:sz w:val="21"/>
          <w:szCs w:val="21"/>
        </w:rPr>
        <w:t>图</w:t>
      </w:r>
      <w:r>
        <w:rPr>
          <w:rFonts w:hint="eastAsia"/>
          <w:sz w:val="21"/>
          <w:szCs w:val="21"/>
        </w:rPr>
        <w:t>4</w:t>
      </w:r>
      <w:r>
        <w:rPr>
          <w:sz w:val="21"/>
          <w:szCs w:val="21"/>
        </w:rPr>
        <w:t>-</w:t>
      </w:r>
      <w:r>
        <w:rPr>
          <w:rFonts w:hint="eastAsia"/>
          <w:sz w:val="21"/>
          <w:szCs w:val="21"/>
        </w:rPr>
        <w:t>4 六种基站流量类型波形图</w:t>
      </w:r>
    </w:p>
    <w:p>
      <w:pPr>
        <w:spacing w:after="156" w:afterLines="50" w:line="240" w:lineRule="auto"/>
        <w:ind w:firstLine="420"/>
        <w:jc w:val="center"/>
        <w:rPr>
          <w:sz w:val="21"/>
          <w:szCs w:val="21"/>
        </w:rPr>
      </w:pPr>
      <w:r>
        <w:rPr>
          <w:sz w:val="21"/>
          <w:szCs w:val="21"/>
        </w:rPr>
        <w:t xml:space="preserve">Figure </w:t>
      </w:r>
      <w:r>
        <w:rPr>
          <w:rFonts w:hint="eastAsia"/>
          <w:sz w:val="21"/>
          <w:szCs w:val="21"/>
        </w:rPr>
        <w:t>4</w:t>
      </w:r>
      <w:r>
        <w:rPr>
          <w:sz w:val="21"/>
          <w:szCs w:val="21"/>
        </w:rPr>
        <w:t>-</w:t>
      </w:r>
      <w:r>
        <w:rPr>
          <w:rFonts w:hint="eastAsia"/>
          <w:sz w:val="21"/>
          <w:szCs w:val="21"/>
        </w:rPr>
        <w:t>4</w:t>
      </w:r>
      <w:r>
        <w:rPr>
          <w:sz w:val="21"/>
          <w:szCs w:val="21"/>
        </w:rPr>
        <w:t xml:space="preserve"> </w:t>
      </w:r>
      <w:r>
        <w:rPr>
          <w:rFonts w:hint="eastAsia"/>
          <w:sz w:val="21"/>
          <w:szCs w:val="21"/>
        </w:rPr>
        <w:t>Waveform Diagram of Six Base Station Traffic Types</w:t>
      </w:r>
    </w:p>
    <w:p>
      <w:pPr>
        <w:pStyle w:val="37"/>
      </w:pPr>
      <w:bookmarkStart w:id="177" w:name="_Toc7858022"/>
      <w:r>
        <w:rPr>
          <w:rFonts w:hint="eastAsia"/>
        </w:rPr>
        <w:t>4.</w:t>
      </w:r>
      <w:r>
        <w:t>2</w:t>
      </w:r>
      <w:r>
        <w:rPr>
          <w:rFonts w:hint="eastAsia"/>
        </w:rPr>
        <w:t>.3  聚类结果分析</w:t>
      </w:r>
      <w:bookmarkEnd w:id="177"/>
    </w:p>
    <w:p>
      <w:pPr>
        <w:ind w:firstLine="480"/>
      </w:pPr>
      <w:r>
        <w:rPr>
          <w:rFonts w:hint="eastAsia"/>
        </w:rPr>
        <w:t>经过聚类我们得到了如图4-4中六种波形各异的大类流量模式，现在</w:t>
      </w:r>
      <w:r>
        <w:t>我们总结其大类流量模式的分类规律</w:t>
      </w:r>
      <w:r>
        <w:rPr>
          <w:rFonts w:hint="eastAsia"/>
        </w:rPr>
        <w:t>，如下面表4-2所示。</w:t>
      </w:r>
    </w:p>
    <w:p>
      <w:pPr>
        <w:spacing w:before="156" w:beforeLines="50" w:line="240" w:lineRule="auto"/>
        <w:ind w:firstLine="0" w:firstLineChars="0"/>
        <w:jc w:val="center"/>
        <w:rPr>
          <w:sz w:val="21"/>
          <w:szCs w:val="21"/>
        </w:rPr>
      </w:pPr>
      <w:r>
        <w:rPr>
          <w:rFonts w:hint="eastAsia"/>
          <w:sz w:val="21"/>
          <w:szCs w:val="21"/>
        </w:rPr>
        <w:t>表4</w:t>
      </w:r>
      <w:r>
        <w:rPr>
          <w:sz w:val="21"/>
          <w:szCs w:val="21"/>
        </w:rPr>
        <w:t>-</w:t>
      </w:r>
      <w:r>
        <w:rPr>
          <w:rFonts w:hint="eastAsia"/>
          <w:sz w:val="21"/>
          <w:szCs w:val="21"/>
        </w:rPr>
        <w:t>2 六种基站流量类型</w:t>
      </w:r>
    </w:p>
    <w:p>
      <w:pPr>
        <w:spacing w:after="156" w:afterLines="50" w:line="240" w:lineRule="auto"/>
        <w:ind w:firstLine="0" w:firstLineChars="0"/>
        <w:jc w:val="center"/>
        <w:rPr>
          <w:sz w:val="21"/>
          <w:szCs w:val="21"/>
        </w:rPr>
      </w:pPr>
      <w:r>
        <w:rPr>
          <w:sz w:val="21"/>
          <w:szCs w:val="21"/>
        </w:rPr>
        <w:t xml:space="preserve">Table </w:t>
      </w:r>
      <w:r>
        <w:rPr>
          <w:rFonts w:hint="eastAsia"/>
          <w:sz w:val="21"/>
          <w:szCs w:val="21"/>
        </w:rPr>
        <w:t>4</w:t>
      </w:r>
      <w:r>
        <w:rPr>
          <w:sz w:val="21"/>
          <w:szCs w:val="21"/>
        </w:rPr>
        <w:t>-</w:t>
      </w:r>
      <w:r>
        <w:rPr>
          <w:rFonts w:hint="eastAsia"/>
          <w:sz w:val="21"/>
          <w:szCs w:val="21"/>
        </w:rPr>
        <w:t>2 Six Base Station Traffic Types</w:t>
      </w:r>
    </w:p>
    <w:tbl>
      <w:tblPr>
        <w:tblStyle w:val="24"/>
        <w:tblW w:w="9286" w:type="dxa"/>
        <w:tblInd w:w="0" w:type="dxa"/>
        <w:tblLayout w:type="fixed"/>
        <w:tblCellMar>
          <w:top w:w="0" w:type="dxa"/>
          <w:left w:w="108" w:type="dxa"/>
          <w:bottom w:w="0" w:type="dxa"/>
          <w:right w:w="108" w:type="dxa"/>
        </w:tblCellMar>
      </w:tblPr>
      <w:tblGrid>
        <w:gridCol w:w="2093"/>
        <w:gridCol w:w="1701"/>
        <w:gridCol w:w="5492"/>
      </w:tblGrid>
      <w:tr>
        <w:tblPrEx>
          <w:tblLayout w:type="fixed"/>
          <w:tblCellMar>
            <w:top w:w="0" w:type="dxa"/>
            <w:left w:w="108" w:type="dxa"/>
            <w:bottom w:w="0" w:type="dxa"/>
            <w:right w:w="108" w:type="dxa"/>
          </w:tblCellMar>
        </w:tblPrEx>
        <w:tc>
          <w:tcPr>
            <w:tcW w:w="2093" w:type="dxa"/>
            <w:tcBorders>
              <w:top w:val="single" w:color="auto" w:sz="12" w:space="0"/>
              <w:bottom w:val="single" w:color="auto" w:sz="4" w:space="0"/>
            </w:tcBorders>
            <w:shd w:val="clear" w:color="auto" w:fill="auto"/>
          </w:tcPr>
          <w:p>
            <w:pPr>
              <w:ind w:firstLine="0" w:firstLineChars="0"/>
              <w:jc w:val="center"/>
              <w:rPr>
                <w:rFonts w:ascii="宋体" w:hAnsi="宋体" w:cs="宋体"/>
                <w:kern w:val="0"/>
              </w:rPr>
            </w:pPr>
            <w:r>
              <w:rPr>
                <w:rFonts w:hint="eastAsia" w:ascii="宋体" w:hAnsi="宋体" w:cs="宋体"/>
                <w:caps/>
                <w:kern w:val="0"/>
              </w:rPr>
              <w:t>流量模式类型</w:t>
            </w:r>
          </w:p>
        </w:tc>
        <w:tc>
          <w:tcPr>
            <w:tcW w:w="1701" w:type="dxa"/>
            <w:tcBorders>
              <w:top w:val="single" w:color="auto" w:sz="12" w:space="0"/>
              <w:bottom w:val="single" w:color="auto" w:sz="4" w:space="0"/>
            </w:tcBorders>
            <w:shd w:val="clear" w:color="auto" w:fill="auto"/>
          </w:tcPr>
          <w:p>
            <w:pPr>
              <w:ind w:firstLine="0" w:firstLineChars="0"/>
              <w:jc w:val="center"/>
              <w:rPr>
                <w:rFonts w:ascii="宋体" w:hAnsi="宋体" w:cs="宋体"/>
                <w:kern w:val="0"/>
              </w:rPr>
            </w:pPr>
            <w:r>
              <w:rPr>
                <w:rFonts w:hint="eastAsia" w:ascii="宋体" w:hAnsi="宋体" w:cs="宋体"/>
                <w:caps/>
                <w:kern w:val="0"/>
              </w:rPr>
              <w:t>包含基站数目</w:t>
            </w:r>
          </w:p>
        </w:tc>
        <w:tc>
          <w:tcPr>
            <w:tcW w:w="5492" w:type="dxa"/>
            <w:tcBorders>
              <w:top w:val="single" w:color="auto" w:sz="12" w:space="0"/>
              <w:bottom w:val="single" w:color="auto" w:sz="4" w:space="0"/>
            </w:tcBorders>
            <w:shd w:val="clear" w:color="auto" w:fill="auto"/>
          </w:tcPr>
          <w:p>
            <w:pPr>
              <w:ind w:firstLine="0" w:firstLineChars="0"/>
              <w:jc w:val="center"/>
              <w:rPr>
                <w:rFonts w:ascii="宋体" w:hAnsi="宋体" w:cs="宋体"/>
                <w:kern w:val="0"/>
              </w:rPr>
            </w:pPr>
            <w:r>
              <w:rPr>
                <w:rFonts w:hint="eastAsia" w:ascii="宋体" w:hAnsi="宋体" w:cs="宋体"/>
                <w:caps/>
                <w:kern w:val="0"/>
              </w:rPr>
              <w:t>特点</w:t>
            </w:r>
          </w:p>
        </w:tc>
      </w:tr>
      <w:tr>
        <w:tblPrEx>
          <w:tblLayout w:type="fixed"/>
          <w:tblCellMar>
            <w:top w:w="0" w:type="dxa"/>
            <w:left w:w="108" w:type="dxa"/>
            <w:bottom w:w="0" w:type="dxa"/>
            <w:right w:w="108" w:type="dxa"/>
          </w:tblCellMar>
        </w:tblPrEx>
        <w:tc>
          <w:tcPr>
            <w:tcW w:w="2093" w:type="dxa"/>
            <w:tcBorders>
              <w:top w:val="single" w:color="auto" w:sz="4" w:space="0"/>
            </w:tcBorders>
            <w:shd w:val="clear" w:color="auto" w:fill="auto"/>
          </w:tcPr>
          <w:p>
            <w:pPr>
              <w:ind w:firstLine="0" w:firstLineChars="0"/>
              <w:jc w:val="center"/>
              <w:rPr>
                <w:rFonts w:ascii="宋体" w:hAnsi="宋体" w:cs="宋体"/>
                <w:caps/>
                <w:kern w:val="0"/>
              </w:rPr>
            </w:pPr>
            <w:r>
              <w:rPr>
                <w:rFonts w:hint="eastAsia" w:ascii="宋体" w:hAnsi="宋体" w:cs="宋体"/>
                <w:caps/>
                <w:kern w:val="0"/>
                <w:lang w:bidi="ar"/>
              </w:rPr>
              <w:t>主模板流量型</w:t>
            </w:r>
          </w:p>
        </w:tc>
        <w:tc>
          <w:tcPr>
            <w:tcW w:w="1701" w:type="dxa"/>
            <w:tcBorders>
              <w:top w:val="single" w:color="auto" w:sz="4" w:space="0"/>
            </w:tcBorders>
            <w:shd w:val="clear" w:color="auto" w:fill="auto"/>
          </w:tcPr>
          <w:p>
            <w:pPr>
              <w:ind w:firstLine="0" w:firstLineChars="0"/>
              <w:jc w:val="center"/>
              <w:rPr>
                <w:rFonts w:ascii="宋体" w:hAnsi="宋体" w:cs="宋体"/>
                <w:kern w:val="0"/>
              </w:rPr>
            </w:pPr>
            <w:r>
              <w:rPr>
                <w:rFonts w:hint="eastAsia" w:ascii="宋体" w:hAnsi="宋体" w:cs="宋体"/>
                <w:kern w:val="0"/>
              </w:rPr>
              <w:t>2744</w:t>
            </w:r>
          </w:p>
        </w:tc>
        <w:tc>
          <w:tcPr>
            <w:tcW w:w="5492" w:type="dxa"/>
            <w:tcBorders>
              <w:top w:val="single" w:color="auto" w:sz="4" w:space="0"/>
            </w:tcBorders>
            <w:shd w:val="clear" w:color="auto" w:fill="auto"/>
          </w:tcPr>
          <w:p>
            <w:pPr>
              <w:widowControl/>
              <w:snapToGrid/>
              <w:spacing w:line="240" w:lineRule="auto"/>
              <w:ind w:firstLine="0" w:firstLineChars="0"/>
              <w:jc w:val="center"/>
              <w:rPr>
                <w:rFonts w:ascii="宋体" w:hAnsi="宋体" w:cs="宋体"/>
                <w:kern w:val="0"/>
              </w:rPr>
            </w:pPr>
            <w:r>
              <w:rPr>
                <w:rFonts w:hint="eastAsia" w:ascii="宋体" w:hAnsi="宋体" w:cs="宋体"/>
              </w:rPr>
              <w:t>持续上升，2月份“春节”下降，后恢复增长</w:t>
            </w:r>
          </w:p>
        </w:tc>
      </w:tr>
      <w:tr>
        <w:tblPrEx>
          <w:tblLayout w:type="fixed"/>
          <w:tblCellMar>
            <w:top w:w="0" w:type="dxa"/>
            <w:left w:w="108" w:type="dxa"/>
            <w:bottom w:w="0" w:type="dxa"/>
            <w:right w:w="108" w:type="dxa"/>
          </w:tblCellMar>
        </w:tblPrEx>
        <w:tc>
          <w:tcPr>
            <w:tcW w:w="2093" w:type="dxa"/>
            <w:shd w:val="clear" w:color="auto" w:fill="auto"/>
          </w:tcPr>
          <w:p>
            <w:pPr>
              <w:ind w:firstLine="0" w:firstLineChars="0"/>
              <w:jc w:val="center"/>
              <w:rPr>
                <w:rFonts w:ascii="宋体" w:hAnsi="宋体" w:cs="宋体"/>
                <w:caps/>
                <w:kern w:val="0"/>
              </w:rPr>
            </w:pPr>
            <w:r>
              <w:rPr>
                <w:rFonts w:hint="eastAsia" w:ascii="宋体" w:hAnsi="宋体" w:cs="宋体"/>
                <w:caps/>
                <w:kern w:val="0"/>
              </w:rPr>
              <w:t>双11流量型</w:t>
            </w:r>
          </w:p>
        </w:tc>
        <w:tc>
          <w:tcPr>
            <w:tcW w:w="1701" w:type="dxa"/>
            <w:shd w:val="clear" w:color="auto" w:fill="auto"/>
          </w:tcPr>
          <w:p>
            <w:pPr>
              <w:ind w:firstLine="0" w:firstLineChars="0"/>
              <w:jc w:val="center"/>
              <w:rPr>
                <w:rFonts w:ascii="宋体" w:hAnsi="宋体" w:cs="宋体"/>
                <w:kern w:val="0"/>
              </w:rPr>
            </w:pPr>
            <w:r>
              <w:rPr>
                <w:rFonts w:hint="eastAsia" w:ascii="宋体" w:hAnsi="宋体" w:cs="宋体"/>
                <w:kern w:val="0"/>
              </w:rPr>
              <w:t>1041</w:t>
            </w:r>
          </w:p>
        </w:tc>
        <w:tc>
          <w:tcPr>
            <w:tcW w:w="5492" w:type="dxa"/>
            <w:shd w:val="clear" w:color="auto" w:fill="auto"/>
          </w:tcPr>
          <w:p>
            <w:pPr>
              <w:widowControl/>
              <w:snapToGrid/>
              <w:spacing w:line="240" w:lineRule="auto"/>
              <w:ind w:firstLine="0" w:firstLineChars="0"/>
              <w:jc w:val="center"/>
              <w:rPr>
                <w:rFonts w:ascii="宋体" w:hAnsi="宋体" w:cs="宋体"/>
                <w:kern w:val="0"/>
              </w:rPr>
            </w:pPr>
            <w:r>
              <w:rPr>
                <w:rFonts w:hint="eastAsia" w:ascii="宋体" w:hAnsi="宋体" w:cs="宋体"/>
              </w:rPr>
              <w:t>持续上升，11月份“双11”流量达到最高</w:t>
            </w:r>
          </w:p>
        </w:tc>
      </w:tr>
      <w:tr>
        <w:tblPrEx>
          <w:tblLayout w:type="fixed"/>
          <w:tblCellMar>
            <w:top w:w="0" w:type="dxa"/>
            <w:left w:w="108" w:type="dxa"/>
            <w:bottom w:w="0" w:type="dxa"/>
            <w:right w:w="108" w:type="dxa"/>
          </w:tblCellMar>
        </w:tblPrEx>
        <w:tc>
          <w:tcPr>
            <w:tcW w:w="2093" w:type="dxa"/>
            <w:shd w:val="clear" w:color="auto" w:fill="auto"/>
          </w:tcPr>
          <w:p>
            <w:pPr>
              <w:ind w:firstLine="0" w:firstLineChars="0"/>
              <w:jc w:val="center"/>
              <w:rPr>
                <w:rFonts w:ascii="宋体" w:hAnsi="宋体" w:cs="宋体"/>
                <w:kern w:val="0"/>
                <w:lang w:bidi="ar"/>
              </w:rPr>
            </w:pPr>
            <w:r>
              <w:rPr>
                <w:rFonts w:hint="eastAsia" w:ascii="宋体" w:hAnsi="宋体" w:cs="宋体"/>
                <w:caps/>
                <w:kern w:val="0"/>
                <w:lang w:bidi="ar"/>
              </w:rPr>
              <w:t>上升流量型</w:t>
            </w:r>
          </w:p>
        </w:tc>
        <w:tc>
          <w:tcPr>
            <w:tcW w:w="1701" w:type="dxa"/>
            <w:shd w:val="clear" w:color="auto" w:fill="auto"/>
          </w:tcPr>
          <w:p>
            <w:pPr>
              <w:ind w:firstLine="0" w:firstLineChars="0"/>
              <w:jc w:val="center"/>
              <w:rPr>
                <w:rFonts w:ascii="宋体" w:hAnsi="宋体" w:cs="宋体"/>
                <w:kern w:val="0"/>
              </w:rPr>
            </w:pPr>
            <w:r>
              <w:rPr>
                <w:rFonts w:hint="eastAsia" w:ascii="宋体" w:hAnsi="宋体" w:cs="宋体"/>
                <w:kern w:val="0"/>
              </w:rPr>
              <w:t>901</w:t>
            </w:r>
          </w:p>
        </w:tc>
        <w:tc>
          <w:tcPr>
            <w:tcW w:w="5492" w:type="dxa"/>
            <w:shd w:val="clear" w:color="auto" w:fill="auto"/>
          </w:tcPr>
          <w:p>
            <w:pPr>
              <w:widowControl/>
              <w:snapToGrid/>
              <w:spacing w:line="240" w:lineRule="auto"/>
              <w:ind w:firstLine="0" w:firstLineChars="0"/>
              <w:jc w:val="center"/>
              <w:rPr>
                <w:rFonts w:ascii="宋体" w:hAnsi="宋体" w:cs="宋体"/>
                <w:kern w:val="0"/>
              </w:rPr>
            </w:pPr>
            <w:r>
              <w:rPr>
                <w:rFonts w:hint="eastAsia" w:ascii="宋体" w:hAnsi="宋体" w:cs="宋体"/>
              </w:rPr>
              <w:t>持续上升，无流量跌落</w:t>
            </w:r>
          </w:p>
        </w:tc>
      </w:tr>
      <w:tr>
        <w:tblPrEx>
          <w:tblLayout w:type="fixed"/>
          <w:tblCellMar>
            <w:top w:w="0" w:type="dxa"/>
            <w:left w:w="108" w:type="dxa"/>
            <w:bottom w:w="0" w:type="dxa"/>
            <w:right w:w="108" w:type="dxa"/>
          </w:tblCellMar>
        </w:tblPrEx>
        <w:tc>
          <w:tcPr>
            <w:tcW w:w="2093" w:type="dxa"/>
            <w:shd w:val="clear" w:color="auto" w:fill="auto"/>
          </w:tcPr>
          <w:p>
            <w:pPr>
              <w:ind w:firstLine="0" w:firstLineChars="0"/>
              <w:jc w:val="center"/>
              <w:rPr>
                <w:rFonts w:ascii="宋体" w:hAnsi="宋体" w:cs="宋体"/>
                <w:kern w:val="0"/>
                <w:lang w:bidi="ar"/>
              </w:rPr>
            </w:pPr>
            <w:r>
              <w:rPr>
                <w:rFonts w:hint="eastAsia" w:ascii="宋体" w:hAnsi="宋体" w:cs="宋体"/>
                <w:caps/>
                <w:kern w:val="0"/>
              </w:rPr>
              <w:t>春节流量型</w:t>
            </w:r>
          </w:p>
        </w:tc>
        <w:tc>
          <w:tcPr>
            <w:tcW w:w="1701" w:type="dxa"/>
            <w:shd w:val="clear" w:color="auto" w:fill="auto"/>
          </w:tcPr>
          <w:p>
            <w:pPr>
              <w:ind w:firstLine="0" w:firstLineChars="0"/>
              <w:jc w:val="center"/>
              <w:rPr>
                <w:rFonts w:ascii="宋体" w:hAnsi="宋体" w:cs="宋体"/>
                <w:kern w:val="0"/>
              </w:rPr>
            </w:pPr>
            <w:r>
              <w:rPr>
                <w:rFonts w:hint="eastAsia" w:ascii="宋体" w:hAnsi="宋体" w:cs="宋体"/>
                <w:kern w:val="0"/>
              </w:rPr>
              <w:t>745</w:t>
            </w:r>
          </w:p>
        </w:tc>
        <w:tc>
          <w:tcPr>
            <w:tcW w:w="5492" w:type="dxa"/>
            <w:shd w:val="clear" w:color="auto" w:fill="auto"/>
          </w:tcPr>
          <w:p>
            <w:pPr>
              <w:widowControl/>
              <w:snapToGrid/>
              <w:spacing w:line="240" w:lineRule="auto"/>
              <w:ind w:firstLine="0" w:firstLineChars="0"/>
              <w:jc w:val="center"/>
              <w:rPr>
                <w:rFonts w:ascii="宋体" w:hAnsi="宋体" w:cs="宋体"/>
                <w:kern w:val="0"/>
              </w:rPr>
            </w:pPr>
            <w:r>
              <w:rPr>
                <w:rFonts w:hint="eastAsia" w:ascii="宋体" w:hAnsi="宋体" w:cs="宋体"/>
              </w:rPr>
              <w:t>持续上升，2月份“春节”流量达到最高</w:t>
            </w:r>
          </w:p>
        </w:tc>
      </w:tr>
      <w:tr>
        <w:tblPrEx>
          <w:tblLayout w:type="fixed"/>
          <w:tblCellMar>
            <w:top w:w="0" w:type="dxa"/>
            <w:left w:w="108" w:type="dxa"/>
            <w:bottom w:w="0" w:type="dxa"/>
            <w:right w:w="108" w:type="dxa"/>
          </w:tblCellMar>
        </w:tblPrEx>
        <w:tc>
          <w:tcPr>
            <w:tcW w:w="2093" w:type="dxa"/>
            <w:shd w:val="clear" w:color="auto" w:fill="auto"/>
          </w:tcPr>
          <w:p>
            <w:pPr>
              <w:ind w:firstLine="0" w:firstLineChars="0"/>
              <w:jc w:val="center"/>
              <w:rPr>
                <w:rFonts w:ascii="宋体" w:hAnsi="宋体" w:cs="宋体"/>
                <w:kern w:val="0"/>
                <w:lang w:bidi="ar"/>
              </w:rPr>
            </w:pPr>
            <w:r>
              <w:rPr>
                <w:rFonts w:hint="eastAsia" w:ascii="宋体" w:hAnsi="宋体" w:cs="宋体"/>
                <w:caps/>
                <w:kern w:val="0"/>
              </w:rPr>
              <w:t>7月下滑流量型</w:t>
            </w:r>
          </w:p>
        </w:tc>
        <w:tc>
          <w:tcPr>
            <w:tcW w:w="1701" w:type="dxa"/>
            <w:shd w:val="clear" w:color="auto" w:fill="auto"/>
          </w:tcPr>
          <w:p>
            <w:pPr>
              <w:ind w:firstLine="0" w:firstLineChars="0"/>
              <w:jc w:val="center"/>
              <w:rPr>
                <w:rFonts w:ascii="宋体" w:hAnsi="宋体" w:cs="宋体"/>
                <w:kern w:val="0"/>
              </w:rPr>
            </w:pPr>
            <w:r>
              <w:rPr>
                <w:rFonts w:hint="eastAsia" w:ascii="宋体" w:hAnsi="宋体" w:cs="宋体"/>
                <w:kern w:val="0"/>
              </w:rPr>
              <w:t>438</w:t>
            </w:r>
          </w:p>
        </w:tc>
        <w:tc>
          <w:tcPr>
            <w:tcW w:w="5492" w:type="dxa"/>
            <w:shd w:val="clear" w:color="auto" w:fill="auto"/>
          </w:tcPr>
          <w:p>
            <w:pPr>
              <w:widowControl/>
              <w:snapToGrid/>
              <w:spacing w:line="240" w:lineRule="auto"/>
              <w:ind w:firstLine="0" w:firstLineChars="0"/>
              <w:jc w:val="center"/>
              <w:rPr>
                <w:rFonts w:ascii="宋体" w:hAnsi="宋体" w:cs="宋体"/>
                <w:kern w:val="0"/>
              </w:rPr>
            </w:pPr>
            <w:r>
              <w:rPr>
                <w:rFonts w:hint="eastAsia" w:ascii="宋体" w:hAnsi="宋体" w:cs="宋体"/>
              </w:rPr>
              <w:t>流量下滑，从7月份下滑，3月份“春节”后回升</w:t>
            </w:r>
          </w:p>
        </w:tc>
      </w:tr>
      <w:tr>
        <w:tblPrEx>
          <w:tblLayout w:type="fixed"/>
          <w:tblCellMar>
            <w:top w:w="0" w:type="dxa"/>
            <w:left w:w="108" w:type="dxa"/>
            <w:bottom w:w="0" w:type="dxa"/>
            <w:right w:w="108" w:type="dxa"/>
          </w:tblCellMar>
        </w:tblPrEx>
        <w:tc>
          <w:tcPr>
            <w:tcW w:w="2093" w:type="dxa"/>
            <w:shd w:val="clear" w:color="auto" w:fill="auto"/>
          </w:tcPr>
          <w:p>
            <w:pPr>
              <w:ind w:firstLine="0" w:firstLineChars="0"/>
              <w:jc w:val="center"/>
              <w:rPr>
                <w:rFonts w:ascii="宋体" w:hAnsi="宋体" w:cs="宋体"/>
                <w:kern w:val="0"/>
                <w:lang w:bidi="ar"/>
              </w:rPr>
            </w:pPr>
            <w:r>
              <w:rPr>
                <w:rFonts w:hint="eastAsia" w:ascii="宋体" w:hAnsi="宋体" w:cs="宋体"/>
                <w:caps/>
                <w:kern w:val="0"/>
              </w:rPr>
              <w:t>9月下滑流量型</w:t>
            </w:r>
          </w:p>
        </w:tc>
        <w:tc>
          <w:tcPr>
            <w:tcW w:w="1701" w:type="dxa"/>
            <w:shd w:val="clear" w:color="auto" w:fill="auto"/>
          </w:tcPr>
          <w:p>
            <w:pPr>
              <w:ind w:firstLine="0" w:firstLineChars="0"/>
              <w:jc w:val="center"/>
              <w:rPr>
                <w:rFonts w:ascii="宋体" w:hAnsi="宋体" w:cs="宋体"/>
                <w:kern w:val="0"/>
              </w:rPr>
            </w:pPr>
            <w:r>
              <w:rPr>
                <w:rFonts w:hint="eastAsia" w:ascii="宋体" w:hAnsi="宋体" w:cs="宋体"/>
                <w:kern w:val="0"/>
              </w:rPr>
              <w:t>416</w:t>
            </w:r>
          </w:p>
        </w:tc>
        <w:tc>
          <w:tcPr>
            <w:tcW w:w="5492" w:type="dxa"/>
            <w:shd w:val="clear" w:color="auto" w:fill="auto"/>
          </w:tcPr>
          <w:p>
            <w:pPr>
              <w:widowControl/>
              <w:snapToGrid/>
              <w:spacing w:line="240" w:lineRule="auto"/>
              <w:ind w:firstLine="0" w:firstLineChars="0"/>
              <w:jc w:val="center"/>
              <w:rPr>
                <w:rFonts w:ascii="宋体" w:hAnsi="宋体" w:cs="宋体"/>
                <w:kern w:val="0"/>
              </w:rPr>
            </w:pPr>
            <w:r>
              <w:rPr>
                <w:rFonts w:hint="eastAsia" w:ascii="宋体" w:hAnsi="宋体" w:cs="宋体"/>
              </w:rPr>
              <w:t>流量下滑, 从9月份下滑，3月份“春节”后回升</w:t>
            </w:r>
          </w:p>
        </w:tc>
      </w:tr>
      <w:tr>
        <w:tblPrEx>
          <w:tblLayout w:type="fixed"/>
          <w:tblCellMar>
            <w:top w:w="0" w:type="dxa"/>
            <w:left w:w="108" w:type="dxa"/>
            <w:bottom w:w="0" w:type="dxa"/>
            <w:right w:w="108" w:type="dxa"/>
          </w:tblCellMar>
        </w:tblPrEx>
        <w:tc>
          <w:tcPr>
            <w:tcW w:w="2093" w:type="dxa"/>
            <w:tcBorders>
              <w:bottom w:val="single" w:color="auto" w:sz="12" w:space="0"/>
            </w:tcBorders>
            <w:shd w:val="clear" w:color="auto" w:fill="auto"/>
          </w:tcPr>
          <w:p>
            <w:pPr>
              <w:ind w:firstLine="0" w:firstLineChars="0"/>
              <w:jc w:val="center"/>
              <w:rPr>
                <w:rFonts w:ascii="宋体" w:hAnsi="宋体" w:cs="宋体"/>
                <w:kern w:val="0"/>
                <w:lang w:bidi="ar"/>
              </w:rPr>
            </w:pPr>
            <w:r>
              <w:rPr>
                <w:rFonts w:hint="eastAsia" w:ascii="宋体" w:hAnsi="宋体" w:cs="宋体"/>
                <w:caps/>
                <w:kern w:val="0"/>
                <w:lang w:bidi="ar"/>
              </w:rPr>
              <w:t>其它</w:t>
            </w:r>
          </w:p>
        </w:tc>
        <w:tc>
          <w:tcPr>
            <w:tcW w:w="1701" w:type="dxa"/>
            <w:tcBorders>
              <w:bottom w:val="single" w:color="auto" w:sz="12" w:space="0"/>
            </w:tcBorders>
            <w:shd w:val="clear" w:color="auto" w:fill="auto"/>
          </w:tcPr>
          <w:p>
            <w:pPr>
              <w:ind w:firstLine="0" w:firstLineChars="0"/>
              <w:jc w:val="center"/>
              <w:rPr>
                <w:rFonts w:ascii="宋体" w:hAnsi="宋体" w:cs="宋体"/>
                <w:kern w:val="0"/>
              </w:rPr>
            </w:pPr>
            <w:r>
              <w:rPr>
                <w:rFonts w:hint="eastAsia" w:ascii="宋体" w:hAnsi="宋体" w:cs="宋体"/>
                <w:kern w:val="0"/>
              </w:rPr>
              <w:t>825</w:t>
            </w:r>
          </w:p>
        </w:tc>
        <w:tc>
          <w:tcPr>
            <w:tcW w:w="5492" w:type="dxa"/>
            <w:tcBorders>
              <w:bottom w:val="single" w:color="auto" w:sz="12" w:space="0"/>
            </w:tcBorders>
            <w:shd w:val="clear" w:color="auto" w:fill="auto"/>
          </w:tcPr>
          <w:p>
            <w:pPr>
              <w:ind w:firstLine="0" w:firstLineChars="0"/>
              <w:jc w:val="center"/>
              <w:rPr>
                <w:rFonts w:ascii="宋体" w:hAnsi="宋体" w:cs="宋体"/>
                <w:kern w:val="0"/>
              </w:rPr>
            </w:pPr>
            <w:r>
              <w:rPr>
                <w:rFonts w:hint="eastAsia" w:ascii="宋体" w:hAnsi="宋体" w:cs="宋体"/>
              </w:rPr>
              <w:t>无明显类型特点</w:t>
            </w:r>
          </w:p>
        </w:tc>
      </w:tr>
    </w:tbl>
    <w:p>
      <w:pPr>
        <w:spacing w:before="156" w:beforeLines="50"/>
        <w:ind w:firstLine="480"/>
      </w:pPr>
      <w:r>
        <w:rPr>
          <w:rFonts w:hint="eastAsia"/>
        </w:rPr>
        <w:t>(</w:t>
      </w:r>
      <w:r>
        <w:t>1) 主模板流量型：该模式与前文基站流量增长模式一致，其主要特点是该类型基站占比高，约一半基站流量遵循该流量模式。形成原因可能为：由于手机移动服务发展，包括运营商推出的优惠套餐和流量价格不断走低，移动流量使用呈现增长趋势。此外，除了基站流量呈上涨趋势外，后面将有两次明显流量波动。第一次波动发生在11月份，其原因为该月份包含“双11”电购物节，作为电商发达城市流量会迅速上升。 第二次波动发生在次年2月份，其原因为该月份包含中国特色节日“春节”。该市电商与旅游业发达，流动人口比例高，春节期间将有大量非常驻人口“春节返乡”导致基站流量下降。此外，作为高度发达的电子商务城市，春节期间也有诸多限制影响流量使用，如春节期间快速停运等。3月份基站流量迅速恢复，主要原因是春节假期过后，流动人口从其他城市返回该城市，恢复正常工作。该流量类型的形成与地区特点，节假日，以及人口流动密切相关。</w:t>
      </w:r>
    </w:p>
    <w:p>
      <w:pPr>
        <w:ind w:firstLine="480"/>
      </w:pPr>
      <w:r>
        <w:rPr>
          <w:rFonts w:hint="eastAsia"/>
        </w:rPr>
        <w:t>(</w:t>
      </w:r>
      <w:r>
        <w:t>2) 双11流量型：该流量型是主模板流量型的变体，区别是11月份流量达到最高值，同时2月份基站流量下降幅度更大。该类型基站将在11月份，特别是“双11”给基站带来巨大流量压力，运营商需将该类型基站作为重点关注基站。同时次年2月份流量将大幅度回落，如果不及时重新规划网络资源（频谱，耗电等）将造成资源浪费。</w:t>
      </w:r>
    </w:p>
    <w:p>
      <w:pPr>
        <w:ind w:firstLine="480"/>
      </w:pPr>
      <w:r>
        <w:rPr>
          <w:rFonts w:hint="eastAsia"/>
        </w:rPr>
        <w:t>(</w:t>
      </w:r>
      <w:r>
        <w:t>3) 上升流量型：该流量型是主模板流量型的变体，区别是在关键点处（11月份、次年2月份）没有大幅度涨跌，流量保持稳定增长。该类型基站覆盖区域对流量需求稳定，受到外来人口、特殊事件（双11、春节）干扰小。</w:t>
      </w:r>
    </w:p>
    <w:p>
      <w:pPr>
        <w:ind w:firstLine="480"/>
      </w:pPr>
      <w:r>
        <w:rPr>
          <w:rFonts w:hint="eastAsia"/>
        </w:rPr>
        <w:t>(</w:t>
      </w:r>
      <w:r>
        <w:t>4) 春节流量型：该流量型特点是流量持续上涨，在次年2月份“春节”期间内流量出现大幅上升。通过后面各流量类型地理分布可知，该类型主要集中在郊区。形成原因可能是“春节”期间该市常驻人口由市中心区域向周边转移导致“春节”期间流量上升。运营商需要针对“春节”流量高峰基站做好提前预防的措施，如增加资源、增补临时基站。</w:t>
      </w:r>
    </w:p>
    <w:p>
      <w:pPr>
        <w:ind w:firstLine="480"/>
      </w:pPr>
      <w:r>
        <w:t>(5) 7月下滑流量型：该流量型特点是从7月份开始流量下滑至次年2月，次年3月回升。</w:t>
      </w:r>
      <w:r>
        <w:rPr>
          <w:rFonts w:hint="eastAsia"/>
        </w:rPr>
        <w:t>具有该流量型的基站数目较少，但是市中心分布范围较广，在风景区能够观察到部分该类型的基站。</w:t>
      </w:r>
    </w:p>
    <w:p>
      <w:pPr>
        <w:ind w:firstLine="480"/>
      </w:pPr>
      <w:r>
        <w:t>(6) 9月下滑流量型：该流量型特点是从9月份开始流量下滑至次年2月，次年3月回升。</w:t>
      </w:r>
      <w:r>
        <w:rPr>
          <w:rFonts w:hint="eastAsia"/>
        </w:rPr>
        <w:t>具有该流量型的基站数目较少，比较明显的特点学校附近有许多这样流量类型的基站，形成的原因可能是学生暑假结束返校。</w:t>
      </w:r>
    </w:p>
    <w:p>
      <w:pPr>
        <w:spacing w:before="156" w:beforeLines="50"/>
        <w:ind w:firstLine="480"/>
      </w:pPr>
      <w:r>
        <w:rPr>
          <w:rFonts w:hint="eastAsia"/>
        </w:rPr>
        <w:t>我们比对了K-Means聚类和文中提出Rank-based聚类的结果，如图4-5所示。图中</w:t>
      </w:r>
      <w:r>
        <w:t>显示了7110个真实基站按照两种不同的聚类方式所得到的结果，</w:t>
      </w:r>
      <w:r>
        <w:rPr>
          <w:rFonts w:hint="eastAsia"/>
        </w:rPr>
        <w:t>(</w:t>
      </w:r>
      <w:r>
        <w:t>a)图为Rank-Based聚类方法，</w:t>
      </w:r>
      <w:r>
        <w:rPr>
          <w:rFonts w:hint="eastAsia"/>
        </w:rPr>
        <w:t>(</w:t>
      </w:r>
      <w:r>
        <w:t>b)图为K-Means聚类方法。从图中能够看出k-Means聚类结果较为混乱，难以对应该市真实的环境；在Rank-Based聚类结果中基站行为变化一致，同时在上文中我们也对每一类基站流量型的特点以及形成原因给出了说明。</w:t>
      </w:r>
    </w:p>
    <w:p>
      <w:pPr>
        <w:spacing w:before="156" w:beforeLines="50" w:line="240" w:lineRule="auto"/>
        <w:ind w:firstLine="480"/>
        <w:jc w:val="center"/>
        <w:rPr>
          <w:sz w:val="21"/>
          <w:szCs w:val="21"/>
        </w:rPr>
      </w:pPr>
      <w:r>
        <w:drawing>
          <wp:anchor distT="0" distB="0" distL="114300" distR="114300" simplePos="0" relativeHeight="251673600" behindDoc="0" locked="0" layoutInCell="1" allowOverlap="1">
            <wp:simplePos x="0" y="0"/>
            <wp:positionH relativeFrom="margin">
              <wp:align>center</wp:align>
            </wp:positionH>
            <wp:positionV relativeFrom="paragraph">
              <wp:posOffset>203200</wp:posOffset>
            </wp:positionV>
            <wp:extent cx="5901055" cy="1957705"/>
            <wp:effectExtent l="0" t="0" r="4445" b="4445"/>
            <wp:wrapTopAndBottom/>
            <wp:docPr id="32" name="图片 32" descr="C:\Users\su\Desktop\使用版本\图片\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su\Desktop\使用版本\图片\4-5.jpg"/>
                    <pic:cNvPicPr>
                      <a:picLocks noChangeAspect="1" noChangeArrowheads="1"/>
                    </pic:cNvPicPr>
                  </pic:nvPicPr>
                  <pic:blipFill>
                    <a:blip r:embed="rId57" cstate="print">
                      <a:extLst>
                        <a:ext uri="{28A0092B-C50C-407E-A947-70E740481C1C}">
                          <a14:useLocalDpi xmlns:a14="http://schemas.microsoft.com/office/drawing/2010/main" val="0"/>
                        </a:ext>
                      </a:extLst>
                    </a:blip>
                    <a:srcRect b="4988"/>
                    <a:stretch>
                      <a:fillRect/>
                    </a:stretch>
                  </pic:blipFill>
                  <pic:spPr>
                    <a:xfrm>
                      <a:off x="0" y="0"/>
                      <a:ext cx="5901055" cy="1957705"/>
                    </a:xfrm>
                    <a:prstGeom prst="rect">
                      <a:avLst/>
                    </a:prstGeom>
                    <a:noFill/>
                    <a:ln>
                      <a:noFill/>
                    </a:ln>
                  </pic:spPr>
                </pic:pic>
              </a:graphicData>
            </a:graphic>
          </wp:anchor>
        </w:drawing>
      </w:r>
    </w:p>
    <w:p>
      <w:pPr>
        <w:spacing w:before="156" w:beforeLines="50" w:line="240" w:lineRule="auto"/>
        <w:ind w:firstLine="420"/>
        <w:jc w:val="center"/>
        <w:rPr>
          <w:sz w:val="21"/>
          <w:szCs w:val="21"/>
        </w:rPr>
      </w:pPr>
      <w:r>
        <w:rPr>
          <w:sz w:val="21"/>
          <w:szCs w:val="21"/>
        </w:rPr>
        <w:t>图</w:t>
      </w:r>
      <w:r>
        <w:rPr>
          <w:rFonts w:hint="eastAsia"/>
          <w:sz w:val="21"/>
          <w:szCs w:val="21"/>
        </w:rPr>
        <w:t>4</w:t>
      </w:r>
      <w:r>
        <w:rPr>
          <w:sz w:val="21"/>
          <w:szCs w:val="21"/>
        </w:rPr>
        <w:t>-</w:t>
      </w:r>
      <w:r>
        <w:rPr>
          <w:rFonts w:hint="eastAsia"/>
          <w:sz w:val="21"/>
          <w:szCs w:val="21"/>
        </w:rPr>
        <w:t>5 Rank-Based与K-Means的聚类结果</w:t>
      </w:r>
    </w:p>
    <w:p>
      <w:pPr>
        <w:spacing w:after="156" w:afterLines="50" w:line="240" w:lineRule="auto"/>
        <w:ind w:firstLine="420"/>
        <w:jc w:val="center"/>
      </w:pPr>
      <w:r>
        <w:rPr>
          <w:sz w:val="21"/>
          <w:szCs w:val="21"/>
        </w:rPr>
        <w:t xml:space="preserve">Figure </w:t>
      </w:r>
      <w:r>
        <w:rPr>
          <w:rFonts w:hint="eastAsia"/>
          <w:sz w:val="21"/>
          <w:szCs w:val="21"/>
        </w:rPr>
        <w:t>4</w:t>
      </w:r>
      <w:r>
        <w:rPr>
          <w:sz w:val="21"/>
          <w:szCs w:val="21"/>
        </w:rPr>
        <w:t>-</w:t>
      </w:r>
      <w:r>
        <w:rPr>
          <w:rFonts w:hint="eastAsia"/>
          <w:sz w:val="21"/>
          <w:szCs w:val="21"/>
        </w:rPr>
        <w:t>5 Clustering Results Of Rank-Based And K-Means</w:t>
      </w:r>
    </w:p>
    <w:p>
      <w:pPr>
        <w:pStyle w:val="40"/>
      </w:pPr>
      <w:bookmarkStart w:id="178" w:name="_Toc7858023"/>
      <w:r>
        <w:rPr>
          <w:rFonts w:hint="eastAsia"/>
        </w:rPr>
        <w:t>4.</w:t>
      </w:r>
      <w:r>
        <w:t>3</w:t>
      </w:r>
      <w:r>
        <w:rPr>
          <w:rFonts w:hint="eastAsia"/>
        </w:rPr>
        <w:t xml:space="preserve">  本章小结</w:t>
      </w:r>
      <w:bookmarkEnd w:id="178"/>
    </w:p>
    <w:p>
      <w:pPr>
        <w:ind w:firstLine="480"/>
      </w:pPr>
      <w:r>
        <w:t>本章</w:t>
      </w:r>
      <w:r>
        <w:rPr>
          <w:rFonts w:hint="eastAsia"/>
        </w:rPr>
        <w:t>首先说明了传统基于类内距离的聚类方法在基站流量聚类上的不足是缺乏对流量变化的考虑，据此我们提出了</w:t>
      </w:r>
      <w:r>
        <w:t>Rank-Based基站流量模式聚类方法</w:t>
      </w:r>
      <w:r>
        <w:rPr>
          <w:rFonts w:hint="eastAsia"/>
        </w:rPr>
        <w:t>。我们引入了基站Rank向量表征短期基站流量变化特征，并对</w:t>
      </w:r>
      <w:r>
        <w:t>7110</w:t>
      </w:r>
      <w:r>
        <w:rPr>
          <w:rFonts w:hint="eastAsia"/>
        </w:rPr>
        <w:t>个基站进行聚类得出了6大类流量模式。</w:t>
      </w:r>
      <w:r>
        <w:t>根据该</w:t>
      </w:r>
      <w:r>
        <w:rPr>
          <w:rFonts w:hint="eastAsia"/>
        </w:rPr>
        <w:t>城市</w:t>
      </w:r>
      <w:r>
        <w:t>的特点和中国的节日</w:t>
      </w:r>
      <w:r>
        <w:rPr>
          <w:rFonts w:hint="eastAsia"/>
        </w:rPr>
        <w:t>，我们给出这6类基站流量模式形成的解释，</w:t>
      </w:r>
      <w:r>
        <w:t>最后我们将聚类结果与经典的聚类算法K-means</w:t>
      </w:r>
      <w:r>
        <w:rPr>
          <w:rFonts w:hint="eastAsia"/>
        </w:rPr>
        <w:t>进行对比分析</w:t>
      </w:r>
      <w:r>
        <w:t>。</w:t>
      </w:r>
    </w:p>
    <w:p>
      <w:pPr>
        <w:ind w:firstLine="0" w:firstLineChars="0"/>
      </w:pPr>
    </w:p>
    <w:p>
      <w:pPr>
        <w:ind w:firstLine="480"/>
        <w:sectPr>
          <w:headerReference r:id="rId19" w:type="default"/>
          <w:footerReference r:id="rId20" w:type="default"/>
          <w:pgSz w:w="11906" w:h="16838"/>
          <w:pgMar w:top="1701" w:right="1418" w:bottom="1418" w:left="1418" w:header="907" w:footer="851" w:gutter="0"/>
          <w:cols w:space="720" w:num="1"/>
          <w:formProt w:val="0"/>
          <w:docGrid w:type="lines" w:linePitch="312" w:charSpace="0"/>
        </w:sectPr>
      </w:pPr>
    </w:p>
    <w:p>
      <w:pPr>
        <w:pStyle w:val="41"/>
      </w:pPr>
      <w:bookmarkStart w:id="179" w:name="_Toc7858024"/>
      <w:bookmarkStart w:id="180" w:name="_Toc6320087"/>
      <w:r>
        <w:rPr>
          <w:rFonts w:hint="eastAsia"/>
        </w:rPr>
        <w:t xml:space="preserve">5  </w:t>
      </w:r>
      <w:r>
        <w:t>基站长期流量变化模式预测</w:t>
      </w:r>
      <w:bookmarkEnd w:id="179"/>
      <w:bookmarkEnd w:id="180"/>
    </w:p>
    <w:p>
      <w:pPr>
        <w:ind w:firstLine="480"/>
      </w:pPr>
      <w:r>
        <w:rPr>
          <w:rFonts w:hint="eastAsia"/>
        </w:rPr>
        <w:t>本章主要介绍我们提出的一种基于地理位置和基站地址语义信息的基站模式预测方法。我们</w:t>
      </w:r>
      <w:r>
        <w:t>评估了作为基站流量模式的两类特征：经纬度和基站宫格名称。当需要预测新建基站的流量模式时，能够使用的信息往往很少，我们选取了两类典型的特征：地理位置特征（经纬度）、语义信息特征（宫格名称），并分析评估其作为预测基站流量模式特征的能力。我们首先可视化了六类流量模式的地理分区情况，得到了其空间分布特点。对语义信息特征，我们从宫格名称分词到词向量的获取，逐步建立了基站的词向量表征。我们将两个特征送入XGBoost、LR分类预测模型进行预测，并对结果做出分析。</w:t>
      </w:r>
    </w:p>
    <w:p>
      <w:pPr>
        <w:pStyle w:val="40"/>
      </w:pPr>
      <w:bookmarkStart w:id="181" w:name="_Toc7858025"/>
      <w:r>
        <w:rPr>
          <w:rFonts w:hint="eastAsia"/>
        </w:rPr>
        <w:t>5</w:t>
      </w:r>
      <w:r>
        <w:t xml:space="preserve">.1  </w:t>
      </w:r>
      <w:r>
        <w:rPr>
          <w:rFonts w:hint="eastAsia"/>
        </w:rPr>
        <w:t>模式预测基本思想</w:t>
      </w:r>
      <w:bookmarkEnd w:id="181"/>
    </w:p>
    <w:p>
      <w:pPr>
        <w:ind w:firstLine="480"/>
      </w:pPr>
      <w:r>
        <w:rPr>
          <w:rFonts w:hint="eastAsia"/>
        </w:rPr>
        <w:t>对于新建基站，我们想要预测它的流量模式是非常困难的，原因在于新建基站的初始信息非常少。就所获得的数据集来看，对于新建基站我们能够获取的信息只有经纬度和所在的宫格名称。我们想充分利用这两个特征，探索基站流量模式的预测，所以问题描述为：利用新建基站的经纬度特征和基站宫格名称（语义信息）去预测它所从属的流量模式，这里的流量模式为前文聚类得出七类流量模式（包含其他类），属于七分类问题。关于经纬度特征和宫格名称的探讨如下：</w:t>
      </w:r>
    </w:p>
    <w:p>
      <w:pPr>
        <w:ind w:firstLine="480"/>
      </w:pPr>
      <w:r>
        <w:rPr>
          <w:rFonts w:hint="eastAsia"/>
        </w:rPr>
        <w:t>(</w:t>
      </w:r>
      <w:r>
        <w:t xml:space="preserve">1) </w:t>
      </w:r>
      <w:r>
        <w:rPr>
          <w:rFonts w:hint="eastAsia"/>
        </w:rPr>
        <w:t>经纬度特征：前文统计分析中我们发现，不同流量模式的基站与所处位置密切相关，例如市中心的基站和郊区的基站类型往往差异明显，市中心的某些区域基站流量会相同，下文将详细展开论述。</w:t>
      </w:r>
    </w:p>
    <w:p>
      <w:pPr>
        <w:ind w:firstLine="480"/>
      </w:pPr>
      <w:r>
        <w:rPr>
          <w:rFonts w:hint="eastAsia"/>
        </w:rPr>
        <w:t>(</w:t>
      </w:r>
      <w:r>
        <w:t xml:space="preserve">2) </w:t>
      </w:r>
      <w:r>
        <w:rPr>
          <w:rFonts w:hint="eastAsia"/>
        </w:rPr>
        <w:t>宫格名称：我们发现宫格名称包含某些词语的基站其流量模式会出现类似的情况。例如包含“学校”的基站宫格名称，其流量变化模式往往都为“双1</w:t>
      </w:r>
      <w:r>
        <w:t>1</w:t>
      </w:r>
      <w:r>
        <w:rPr>
          <w:rFonts w:hint="eastAsia"/>
        </w:rPr>
        <w:t>型”，下文将详细展开论述。所以基站宫格名称引入模式预测是合理的，同时如何将语义信息转化成一种有效的向量参与建立模型是我们探讨的重点。</w:t>
      </w:r>
    </w:p>
    <w:p>
      <w:pPr>
        <w:ind w:firstLine="480"/>
      </w:pPr>
    </w:p>
    <w:p>
      <w:pPr>
        <w:ind w:firstLine="480"/>
      </w:pPr>
    </w:p>
    <w:p>
      <w:pPr>
        <w:ind w:firstLine="480"/>
      </w:pPr>
    </w:p>
    <w:p>
      <w:pPr>
        <w:ind w:firstLine="480"/>
      </w:pPr>
    </w:p>
    <w:p>
      <w:pPr>
        <w:ind w:firstLine="480"/>
      </w:pPr>
    </w:p>
    <w:p>
      <w:pPr>
        <w:ind w:firstLine="480"/>
      </w:pPr>
    </w:p>
    <w:p>
      <w:pPr>
        <w:pStyle w:val="40"/>
      </w:pPr>
      <w:bookmarkStart w:id="182" w:name="_Toc7858026"/>
      <w:r>
        <w:rPr>
          <w:rFonts w:hint="eastAsia"/>
        </w:rPr>
        <w:t>5.</w:t>
      </w:r>
      <w:r>
        <w:t>2</w:t>
      </w:r>
      <w:r>
        <w:rPr>
          <w:rFonts w:hint="eastAsia"/>
        </w:rPr>
        <w:t xml:space="preserve">  模式地理位置分布</w:t>
      </w:r>
      <w:bookmarkEnd w:id="182"/>
    </w:p>
    <w:p>
      <w:pPr>
        <w:ind w:firstLine="480"/>
      </w:pPr>
      <w:r>
        <w:drawing>
          <wp:anchor distT="0" distB="0" distL="114300" distR="114300" simplePos="0" relativeHeight="251671552" behindDoc="0" locked="0" layoutInCell="1" allowOverlap="1">
            <wp:simplePos x="0" y="0"/>
            <wp:positionH relativeFrom="margin">
              <wp:align>center</wp:align>
            </wp:positionH>
            <wp:positionV relativeFrom="paragraph">
              <wp:posOffset>1106805</wp:posOffset>
            </wp:positionV>
            <wp:extent cx="5759450" cy="2120265"/>
            <wp:effectExtent l="0" t="0" r="0" b="0"/>
            <wp:wrapTopAndBottom/>
            <wp:docPr id="3" name="图片 3" descr="C:\Users\su\Desktop\武切维qq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su\Desktop\武切维qq无.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759450" cy="2120170"/>
                    </a:xfrm>
                    <a:prstGeom prst="rect">
                      <a:avLst/>
                    </a:prstGeom>
                    <a:noFill/>
                    <a:ln>
                      <a:noFill/>
                    </a:ln>
                  </pic:spPr>
                </pic:pic>
              </a:graphicData>
            </a:graphic>
          </wp:anchor>
        </w:drawing>
      </w:r>
      <w:r>
        <w:t>本小节对基站地址经纬度与基站流量模式的关系进行分析。该市7110个基站由Rank-Based聚类方法划分成七大类（包含Others类型）。图中多边形为Voronoi图划分的基站区块，表示基站影响范围，我们使用不同颜色填涂基站区块，表示基站流量模式类型的不同，并且将其可视化于地理平面上。</w:t>
      </w:r>
      <w:r>
        <w:rPr>
          <w:rFonts w:hint="eastAsia"/>
        </w:rPr>
        <w:t>如</w:t>
      </w:r>
      <w:r>
        <w:t>图</w:t>
      </w:r>
      <w:r>
        <w:rPr>
          <w:rFonts w:hint="eastAsia"/>
        </w:rPr>
        <w:t>5-</w:t>
      </w:r>
      <w:r>
        <w:t>1</w:t>
      </w:r>
      <w:r>
        <w:rPr>
          <w:rFonts w:hint="eastAsia"/>
        </w:rPr>
        <w:t>所示。</w:t>
      </w:r>
    </w:p>
    <w:p>
      <w:pPr>
        <w:spacing w:before="156" w:beforeLines="50" w:line="240" w:lineRule="auto"/>
        <w:ind w:firstLine="420"/>
        <w:jc w:val="center"/>
        <w:rPr>
          <w:sz w:val="21"/>
          <w:szCs w:val="21"/>
        </w:rPr>
      </w:pPr>
      <w:r>
        <w:rPr>
          <w:sz w:val="21"/>
          <w:szCs w:val="21"/>
        </w:rPr>
        <w:t>图</w:t>
      </w:r>
      <w:r>
        <w:rPr>
          <w:rFonts w:hint="eastAsia"/>
          <w:sz w:val="21"/>
          <w:szCs w:val="21"/>
        </w:rPr>
        <w:t>5</w:t>
      </w:r>
      <w:r>
        <w:rPr>
          <w:sz w:val="21"/>
          <w:szCs w:val="21"/>
        </w:rPr>
        <w:t>-</w:t>
      </w:r>
      <w:r>
        <w:rPr>
          <w:rFonts w:hint="eastAsia"/>
          <w:sz w:val="21"/>
          <w:szCs w:val="21"/>
        </w:rPr>
        <w:t>1 六种流量类型地理分布</w:t>
      </w:r>
    </w:p>
    <w:p>
      <w:pPr>
        <w:spacing w:after="156" w:afterLines="50" w:line="240" w:lineRule="auto"/>
        <w:ind w:firstLine="420"/>
        <w:jc w:val="center"/>
        <w:rPr>
          <w:sz w:val="21"/>
          <w:szCs w:val="21"/>
        </w:rPr>
      </w:pPr>
      <w:r>
        <w:rPr>
          <w:sz w:val="21"/>
          <w:szCs w:val="21"/>
        </w:rPr>
        <w:t xml:space="preserve">Figure </w:t>
      </w:r>
      <w:r>
        <w:rPr>
          <w:rFonts w:hint="eastAsia"/>
          <w:sz w:val="21"/>
          <w:szCs w:val="21"/>
        </w:rPr>
        <w:t>5</w:t>
      </w:r>
      <w:r>
        <w:rPr>
          <w:sz w:val="21"/>
          <w:szCs w:val="21"/>
        </w:rPr>
        <w:t>-</w:t>
      </w:r>
      <w:r>
        <w:rPr>
          <w:rFonts w:hint="eastAsia"/>
          <w:sz w:val="21"/>
          <w:szCs w:val="21"/>
        </w:rPr>
        <w:t>1 Geographical Distribution Of Six Base Station Traffic Types</w:t>
      </w:r>
    </w:p>
    <w:p>
      <w:pPr>
        <w:ind w:firstLine="480"/>
      </w:pPr>
      <w:r>
        <w:rPr>
          <w:rFonts w:hint="eastAsia"/>
        </w:rPr>
        <w:t>在图5-1中，</w:t>
      </w:r>
      <w:r>
        <w:t>我们绘制了两个视角范围的流量模式分布图，</w:t>
      </w:r>
      <w:r>
        <w:rPr>
          <w:rFonts w:hint="eastAsia"/>
        </w:rPr>
        <w:t>(</w:t>
      </w:r>
      <w:r>
        <w:t>a)</w:t>
      </w:r>
      <w:r>
        <w:rPr>
          <w:rFonts w:hint="eastAsia"/>
        </w:rPr>
        <w:t>图</w:t>
      </w:r>
      <w:r>
        <w:t>为全市范围，</w:t>
      </w:r>
      <w:r>
        <w:rPr>
          <w:rFonts w:hint="eastAsia"/>
        </w:rPr>
        <w:t>(</w:t>
      </w:r>
      <w:r>
        <w:t>b)图为市中心范围</w:t>
      </w:r>
      <w:r>
        <w:rPr>
          <w:rFonts w:hint="eastAsia"/>
        </w:rPr>
        <w:t>。(</w:t>
      </w:r>
      <w:r>
        <w:t>a)</w:t>
      </w:r>
      <w:r>
        <w:rPr>
          <w:rFonts w:hint="eastAsia"/>
        </w:rPr>
        <w:t>图中</w:t>
      </w:r>
      <w:r>
        <w:t>比较明显的特点是春节流量型主要分布在该市郊区，其原因与之前分析一致，主要是春节期间人口由市中心向郊区流动，导致该区域2月份基站流量突然增加。相比之下，其他流量模式则集中在市中心区域。</w:t>
      </w:r>
      <w:r>
        <w:rPr>
          <w:rFonts w:hint="eastAsia"/>
        </w:rPr>
        <w:t>在(</w:t>
      </w:r>
      <w:r>
        <w:t>b)</w:t>
      </w:r>
      <w:r>
        <w:rPr>
          <w:rFonts w:hint="eastAsia"/>
        </w:rPr>
        <w:t>图中，</w:t>
      </w:r>
      <w:r>
        <w:t>市中心存在“小集群”，集群内基站的流量模式相同，相邻集群之间模式截然不同。单个集群规模不大，但是整个集群数目众多，说明市中心区域</w:t>
      </w:r>
      <w:r>
        <w:rPr>
          <w:rFonts w:hint="eastAsia"/>
        </w:rPr>
        <w:t>模式</w:t>
      </w:r>
      <w:r>
        <w:t>分布关系复杂</w:t>
      </w:r>
      <w:bookmarkStart w:id="183" w:name="_Toc6318817"/>
      <w:bookmarkEnd w:id="183"/>
      <w:bookmarkStart w:id="184" w:name="_Toc6315056"/>
      <w:bookmarkEnd w:id="184"/>
      <w:bookmarkStart w:id="185" w:name="_Toc6320090"/>
      <w:bookmarkEnd w:id="185"/>
      <w:bookmarkStart w:id="186" w:name="_Toc6320089"/>
      <w:bookmarkEnd w:id="186"/>
      <w:bookmarkStart w:id="187" w:name="_Toc6796421"/>
      <w:bookmarkEnd w:id="187"/>
      <w:bookmarkStart w:id="188" w:name="_Toc6318816"/>
      <w:bookmarkEnd w:id="188"/>
      <w:bookmarkStart w:id="189" w:name="_Toc6318920"/>
      <w:bookmarkEnd w:id="189"/>
      <w:bookmarkStart w:id="190" w:name="_Toc6320091"/>
      <w:bookmarkEnd w:id="190"/>
      <w:bookmarkStart w:id="191" w:name="_Toc6318919"/>
      <w:bookmarkEnd w:id="191"/>
      <w:bookmarkStart w:id="192" w:name="_Toc15417"/>
      <w:bookmarkEnd w:id="192"/>
      <w:bookmarkStart w:id="193" w:name="_Toc6318815"/>
      <w:bookmarkEnd w:id="193"/>
      <w:bookmarkStart w:id="194" w:name="_Toc6315055"/>
      <w:bookmarkEnd w:id="194"/>
      <w:bookmarkStart w:id="195" w:name="_Toc15557"/>
      <w:bookmarkEnd w:id="195"/>
      <w:bookmarkStart w:id="196" w:name="_Toc4882"/>
      <w:bookmarkEnd w:id="196"/>
      <w:bookmarkStart w:id="197" w:name="_Toc6315054"/>
      <w:bookmarkEnd w:id="197"/>
      <w:bookmarkStart w:id="198" w:name="_Toc6796420"/>
      <w:bookmarkEnd w:id="198"/>
      <w:bookmarkStart w:id="199" w:name="_Toc6318918"/>
      <w:bookmarkEnd w:id="199"/>
      <w:bookmarkStart w:id="200" w:name="_Toc6796422"/>
      <w:bookmarkEnd w:id="200"/>
      <w:r>
        <w:rPr>
          <w:rFonts w:hint="eastAsia"/>
        </w:rPr>
        <w:t>。</w:t>
      </w:r>
    </w:p>
    <w:p>
      <w:pPr>
        <w:pStyle w:val="40"/>
      </w:pPr>
      <w:bookmarkStart w:id="201" w:name="_Toc7858027"/>
      <w:bookmarkStart w:id="202" w:name="_Toc6320092"/>
      <w:r>
        <w:rPr>
          <w:rFonts w:hint="eastAsia"/>
        </w:rPr>
        <w:t>5.</w:t>
      </w:r>
      <w:r>
        <w:t>3</w:t>
      </w:r>
      <w:r>
        <w:rPr>
          <w:rFonts w:hint="eastAsia"/>
        </w:rPr>
        <w:t xml:space="preserve">  地址单词与流量模式关系</w:t>
      </w:r>
      <w:bookmarkEnd w:id="201"/>
      <w:bookmarkEnd w:id="202"/>
    </w:p>
    <w:p>
      <w:pPr>
        <w:ind w:firstLine="480"/>
      </w:pPr>
      <w:r>
        <w:t>本节对基站宫格名称与基站流量模式的关系进行分析。我们将基站宫格名称拆分成更细粒度的单词，并分析其模式分布特点，比较不同单词基站流量模式分布的不同，评估单词和模式分布之间的相关性。</w:t>
      </w:r>
      <w:bookmarkStart w:id="203" w:name="_Toc6320093"/>
    </w:p>
    <w:p>
      <w:pPr>
        <w:pStyle w:val="37"/>
      </w:pPr>
      <w:bookmarkStart w:id="204" w:name="_Toc7858028"/>
      <w:r>
        <w:rPr>
          <w:rFonts w:hint="eastAsia"/>
        </w:rPr>
        <w:t>5.</w:t>
      </w:r>
      <w:r>
        <w:t>3</w:t>
      </w:r>
      <w:r>
        <w:rPr>
          <w:rFonts w:hint="eastAsia"/>
        </w:rPr>
        <w:t>.1  统计词频</w:t>
      </w:r>
      <w:bookmarkEnd w:id="203"/>
      <w:r>
        <w:rPr>
          <w:rFonts w:hint="eastAsia"/>
        </w:rPr>
        <w:t>量</w:t>
      </w:r>
      <w:bookmarkEnd w:id="204"/>
    </w:p>
    <w:p>
      <w:pPr>
        <w:ind w:firstLine="480"/>
      </w:pPr>
      <w:r>
        <w:t>我们根据宫格名称的词语特点，汇聚、统计、过滤了经过分词后的词库。基站宫格名称代表该基站地理位置。“宫格名称”具有地理意义且语句较短，包含若干单词，例如某基站宫格名称为“某市高级中学小区”。我们使用中文分词工具“Jieba分词”将7110个基站的宫格名称进行分词并汇总，去除停用词、去重后共有3005个单词，我们对词频</w:t>
      </w:r>
      <w:r>
        <w:drawing>
          <wp:anchor distT="0" distB="0" distL="114300" distR="114300" simplePos="0" relativeHeight="251672576" behindDoc="0" locked="0" layoutInCell="1" allowOverlap="1">
            <wp:simplePos x="0" y="0"/>
            <wp:positionH relativeFrom="column">
              <wp:posOffset>949325</wp:posOffset>
            </wp:positionH>
            <wp:positionV relativeFrom="paragraph">
              <wp:posOffset>789940</wp:posOffset>
            </wp:positionV>
            <wp:extent cx="3854450" cy="2475865"/>
            <wp:effectExtent l="0" t="0" r="0" b="635"/>
            <wp:wrapTopAndBottom/>
            <wp:docPr id="4" name="图片 4" descr="C:\Users\su\Desktop\22222222111111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su\Desktop\22222222111111112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854450" cy="2475865"/>
                    </a:xfrm>
                    <a:prstGeom prst="rect">
                      <a:avLst/>
                    </a:prstGeom>
                    <a:noFill/>
                    <a:ln>
                      <a:noFill/>
                    </a:ln>
                  </pic:spPr>
                </pic:pic>
              </a:graphicData>
            </a:graphic>
          </wp:anchor>
        </w:drawing>
      </w:r>
      <w:r>
        <w:rPr>
          <w:rFonts w:hint="eastAsia"/>
        </w:rPr>
        <w:t>绘制了直方图，</w:t>
      </w:r>
      <w:r>
        <w:t>如图</w:t>
      </w:r>
      <w:r>
        <w:rPr>
          <w:rFonts w:hint="eastAsia"/>
        </w:rPr>
        <w:t>5-2</w:t>
      </w:r>
      <w:r>
        <w:t>所示。</w:t>
      </w:r>
    </w:p>
    <w:p>
      <w:pPr>
        <w:spacing w:before="156" w:beforeLines="50" w:line="240" w:lineRule="auto"/>
        <w:ind w:firstLine="420"/>
        <w:jc w:val="center"/>
        <w:rPr>
          <w:sz w:val="21"/>
          <w:szCs w:val="21"/>
        </w:rPr>
      </w:pPr>
      <w:r>
        <w:rPr>
          <w:sz w:val="21"/>
          <w:szCs w:val="21"/>
        </w:rPr>
        <w:t>图</w:t>
      </w:r>
      <w:r>
        <w:rPr>
          <w:rFonts w:hint="eastAsia"/>
          <w:sz w:val="21"/>
          <w:szCs w:val="21"/>
        </w:rPr>
        <w:t>5</w:t>
      </w:r>
      <w:r>
        <w:rPr>
          <w:sz w:val="21"/>
          <w:szCs w:val="21"/>
        </w:rPr>
        <w:t>-</w:t>
      </w:r>
      <w:r>
        <w:rPr>
          <w:rFonts w:hint="eastAsia"/>
          <w:sz w:val="21"/>
          <w:szCs w:val="21"/>
        </w:rPr>
        <w:t>2 单词词频直方图</w:t>
      </w:r>
    </w:p>
    <w:p>
      <w:pPr>
        <w:spacing w:after="156" w:afterLines="50" w:line="240" w:lineRule="auto"/>
        <w:ind w:firstLine="420"/>
        <w:jc w:val="center"/>
        <w:rPr>
          <w:sz w:val="21"/>
          <w:szCs w:val="21"/>
          <w:lang w:bidi="ar"/>
        </w:rPr>
      </w:pPr>
      <w:r>
        <w:rPr>
          <w:sz w:val="21"/>
          <w:szCs w:val="21"/>
        </w:rPr>
        <w:t xml:space="preserve">Figure </w:t>
      </w:r>
      <w:r>
        <w:rPr>
          <w:rFonts w:hint="eastAsia"/>
          <w:sz w:val="21"/>
          <w:szCs w:val="21"/>
        </w:rPr>
        <w:t>5</w:t>
      </w:r>
      <w:r>
        <w:rPr>
          <w:sz w:val="21"/>
          <w:szCs w:val="21"/>
        </w:rPr>
        <w:t>-</w:t>
      </w:r>
      <w:r>
        <w:rPr>
          <w:rFonts w:hint="eastAsia"/>
          <w:sz w:val="21"/>
          <w:szCs w:val="21"/>
        </w:rPr>
        <w:t>2 Word Frequency Histogram</w:t>
      </w:r>
    </w:p>
    <w:p>
      <w:pPr>
        <w:ind w:firstLine="480"/>
      </w:pPr>
      <w:r>
        <w:rPr>
          <w:rFonts w:hint="eastAsia"/>
        </w:rPr>
        <w:t>在</w:t>
      </w:r>
      <w:r>
        <w:t>图</w:t>
      </w:r>
      <w:r>
        <w:rPr>
          <w:rFonts w:hint="eastAsia"/>
        </w:rPr>
        <w:t>5-2中，我们发现</w:t>
      </w:r>
      <w:r>
        <w:t>大部分词语主要集中在低频，需要过滤掉低频单词</w:t>
      </w:r>
      <w:r>
        <w:rPr>
          <w:rFonts w:hint="eastAsia"/>
        </w:rPr>
        <w:t>去除数据噪声</w:t>
      </w:r>
      <w:r>
        <w:t>。我首先过滤了词频小于10的单词，这个阈值将作为超参数，可供后期</w:t>
      </w:r>
      <w:r>
        <w:rPr>
          <w:rFonts w:hint="eastAsia"/>
        </w:rPr>
        <w:t>模型</w:t>
      </w:r>
      <w:r>
        <w:t>调优。</w:t>
      </w:r>
    </w:p>
    <w:p>
      <w:pPr>
        <w:pStyle w:val="37"/>
      </w:pPr>
      <w:bookmarkStart w:id="205" w:name="_Toc6320094"/>
      <w:bookmarkStart w:id="206" w:name="_Toc7858029"/>
      <w:r>
        <w:rPr>
          <w:rFonts w:hint="eastAsia"/>
        </w:rPr>
        <w:t>5.</w:t>
      </w:r>
      <w:r>
        <w:t>3</w:t>
      </w:r>
      <w:r>
        <w:rPr>
          <w:rFonts w:hint="eastAsia"/>
        </w:rPr>
        <w:t>.2  建立词向量</w:t>
      </w:r>
      <w:bookmarkEnd w:id="205"/>
      <w:bookmarkEnd w:id="206"/>
    </w:p>
    <w:p>
      <w:pPr>
        <w:ind w:firstLine="480"/>
      </w:pPr>
      <w:r>
        <w:t>这里我们将介绍单词词向量的构建过程。对于之前过滤后的单词，我们将统计已经换划分成七类流量模式（包含其他类）的基站在每个单词上的分布。词向量建立的过程，例如单词“小区”的</w:t>
      </w:r>
      <w:r>
        <w:rPr>
          <w:rFonts w:hint="eastAsia"/>
        </w:rPr>
        <w:t>流量模式分布如</w:t>
      </w:r>
      <w:r>
        <w:t>表</w:t>
      </w:r>
      <w:r>
        <w:rPr>
          <w:rFonts w:hint="eastAsia"/>
        </w:rPr>
        <w:t>5-1所示。</w:t>
      </w:r>
    </w:p>
    <w:p>
      <w:pPr>
        <w:spacing w:before="156" w:beforeLines="50" w:line="240" w:lineRule="auto"/>
        <w:ind w:firstLine="0" w:firstLineChars="0"/>
        <w:jc w:val="center"/>
        <w:rPr>
          <w:sz w:val="21"/>
          <w:szCs w:val="21"/>
        </w:rPr>
      </w:pPr>
      <w:r>
        <w:rPr>
          <w:sz w:val="21"/>
          <w:szCs w:val="21"/>
        </w:rPr>
        <w:t>表5-1 某基站的流量类型分布表格</w:t>
      </w:r>
    </w:p>
    <w:p>
      <w:pPr>
        <w:spacing w:after="156" w:afterLines="50" w:line="240" w:lineRule="auto"/>
        <w:ind w:firstLine="0" w:firstLineChars="0"/>
        <w:jc w:val="center"/>
        <w:rPr>
          <w:sz w:val="21"/>
          <w:szCs w:val="21"/>
        </w:rPr>
      </w:pPr>
      <w:r>
        <w:rPr>
          <w:sz w:val="21"/>
          <w:szCs w:val="21"/>
        </w:rPr>
        <w:t>Table 5-1 Traffic Type Distribution Table of A Base Station</w:t>
      </w:r>
    </w:p>
    <w:tbl>
      <w:tblPr>
        <w:tblStyle w:val="24"/>
        <w:tblW w:w="9286" w:type="dxa"/>
        <w:tblInd w:w="0" w:type="dxa"/>
        <w:tblLayout w:type="fixed"/>
        <w:tblCellMar>
          <w:top w:w="0" w:type="dxa"/>
          <w:left w:w="108" w:type="dxa"/>
          <w:bottom w:w="0" w:type="dxa"/>
          <w:right w:w="108" w:type="dxa"/>
        </w:tblCellMar>
      </w:tblPr>
      <w:tblGrid>
        <w:gridCol w:w="1331"/>
        <w:gridCol w:w="1332"/>
        <w:gridCol w:w="1330"/>
        <w:gridCol w:w="1077"/>
        <w:gridCol w:w="1417"/>
        <w:gridCol w:w="1276"/>
        <w:gridCol w:w="193"/>
        <w:gridCol w:w="1330"/>
      </w:tblGrid>
      <w:tr>
        <w:tblPrEx>
          <w:tblLayout w:type="fixed"/>
          <w:tblCellMar>
            <w:top w:w="0" w:type="dxa"/>
            <w:left w:w="108" w:type="dxa"/>
            <w:bottom w:w="0" w:type="dxa"/>
            <w:right w:w="108" w:type="dxa"/>
          </w:tblCellMar>
        </w:tblPrEx>
        <w:tc>
          <w:tcPr>
            <w:tcW w:w="1331" w:type="dxa"/>
            <w:tcBorders>
              <w:top w:val="single" w:color="auto" w:sz="12" w:space="0"/>
              <w:bottom w:val="single" w:color="auto" w:sz="4" w:space="0"/>
            </w:tcBorders>
            <w:shd w:val="clear" w:color="auto" w:fill="auto"/>
          </w:tcPr>
          <w:p>
            <w:pPr>
              <w:ind w:firstLine="0" w:firstLineChars="0"/>
              <w:jc w:val="center"/>
              <w:rPr>
                <w:caps/>
                <w:kern w:val="0"/>
              </w:rPr>
            </w:pPr>
            <w:r>
              <w:rPr>
                <w:caps/>
                <w:kern w:val="0"/>
                <w:lang w:bidi="ar"/>
              </w:rPr>
              <w:t>单词</w:t>
            </w:r>
          </w:p>
        </w:tc>
        <w:tc>
          <w:tcPr>
            <w:tcW w:w="1332" w:type="dxa"/>
            <w:tcBorders>
              <w:top w:val="single" w:color="auto" w:sz="12" w:space="0"/>
              <w:bottom w:val="single" w:color="auto" w:sz="4" w:space="0"/>
            </w:tcBorders>
            <w:shd w:val="clear" w:color="auto" w:fill="auto"/>
          </w:tcPr>
          <w:p>
            <w:pPr>
              <w:ind w:firstLine="0" w:firstLineChars="0"/>
              <w:jc w:val="center"/>
              <w:rPr>
                <w:caps/>
                <w:kern w:val="0"/>
              </w:rPr>
            </w:pPr>
            <w:r>
              <w:rPr>
                <w:caps/>
                <w:kern w:val="0"/>
              </w:rPr>
              <w:t>1类型</w:t>
            </w:r>
          </w:p>
        </w:tc>
        <w:tc>
          <w:tcPr>
            <w:tcW w:w="1330" w:type="dxa"/>
            <w:tcBorders>
              <w:top w:val="single" w:color="auto" w:sz="12" w:space="0"/>
              <w:bottom w:val="single" w:color="auto" w:sz="4" w:space="0"/>
            </w:tcBorders>
            <w:shd w:val="clear" w:color="auto" w:fill="auto"/>
          </w:tcPr>
          <w:p>
            <w:pPr>
              <w:ind w:firstLine="0" w:firstLineChars="0"/>
              <w:jc w:val="center"/>
              <w:rPr>
                <w:caps/>
                <w:kern w:val="0"/>
              </w:rPr>
            </w:pPr>
            <w:r>
              <w:rPr>
                <w:caps/>
                <w:kern w:val="0"/>
              </w:rPr>
              <w:t>2类型</w:t>
            </w:r>
          </w:p>
        </w:tc>
        <w:tc>
          <w:tcPr>
            <w:tcW w:w="1077" w:type="dxa"/>
            <w:tcBorders>
              <w:top w:val="single" w:color="auto" w:sz="12" w:space="0"/>
              <w:bottom w:val="single" w:color="auto" w:sz="4" w:space="0"/>
            </w:tcBorders>
            <w:shd w:val="clear" w:color="auto" w:fill="auto"/>
          </w:tcPr>
          <w:p>
            <w:pPr>
              <w:ind w:firstLine="0" w:firstLineChars="0"/>
              <w:jc w:val="center"/>
              <w:rPr>
                <w:caps/>
                <w:kern w:val="0"/>
              </w:rPr>
            </w:pPr>
            <w:r>
              <w:rPr>
                <w:caps/>
                <w:kern w:val="0"/>
              </w:rPr>
              <w:t>3类型</w:t>
            </w:r>
          </w:p>
        </w:tc>
        <w:tc>
          <w:tcPr>
            <w:tcW w:w="1417" w:type="dxa"/>
            <w:tcBorders>
              <w:top w:val="single" w:color="auto" w:sz="12" w:space="0"/>
              <w:bottom w:val="single" w:color="auto" w:sz="4" w:space="0"/>
            </w:tcBorders>
            <w:shd w:val="clear" w:color="auto" w:fill="auto"/>
          </w:tcPr>
          <w:p>
            <w:pPr>
              <w:ind w:firstLine="0" w:firstLineChars="0"/>
              <w:jc w:val="center"/>
              <w:rPr>
                <w:caps/>
                <w:kern w:val="0"/>
                <w:lang w:bidi="ar"/>
              </w:rPr>
            </w:pPr>
            <w:r>
              <w:rPr>
                <w:caps/>
                <w:kern w:val="0"/>
              </w:rPr>
              <w:t>4类型</w:t>
            </w:r>
          </w:p>
        </w:tc>
        <w:tc>
          <w:tcPr>
            <w:tcW w:w="1276" w:type="dxa"/>
            <w:tcBorders>
              <w:top w:val="single" w:color="auto" w:sz="12" w:space="0"/>
              <w:bottom w:val="single" w:color="auto" w:sz="4" w:space="0"/>
            </w:tcBorders>
          </w:tcPr>
          <w:p>
            <w:pPr>
              <w:ind w:firstLine="0" w:firstLineChars="0"/>
              <w:jc w:val="center"/>
              <w:rPr>
                <w:caps/>
                <w:kern w:val="0"/>
                <w:lang w:bidi="ar"/>
              </w:rPr>
            </w:pPr>
            <w:r>
              <w:rPr>
                <w:caps/>
                <w:kern w:val="0"/>
              </w:rPr>
              <w:t>5类型</w:t>
            </w:r>
          </w:p>
        </w:tc>
        <w:tc>
          <w:tcPr>
            <w:tcW w:w="1523" w:type="dxa"/>
            <w:gridSpan w:val="2"/>
            <w:tcBorders>
              <w:top w:val="single" w:color="auto" w:sz="12" w:space="0"/>
              <w:bottom w:val="single" w:color="auto" w:sz="4" w:space="0"/>
            </w:tcBorders>
            <w:shd w:val="clear" w:color="auto" w:fill="auto"/>
          </w:tcPr>
          <w:p>
            <w:pPr>
              <w:ind w:firstLine="0" w:firstLineChars="0"/>
              <w:jc w:val="center"/>
              <w:rPr>
                <w:caps/>
                <w:kern w:val="0"/>
              </w:rPr>
            </w:pPr>
            <w:r>
              <w:rPr>
                <w:caps/>
                <w:kern w:val="0"/>
              </w:rPr>
              <w:t>6类型</w:t>
            </w:r>
          </w:p>
        </w:tc>
      </w:tr>
      <w:tr>
        <w:tblPrEx>
          <w:tblLayout w:type="fixed"/>
          <w:tblCellMar>
            <w:top w:w="0" w:type="dxa"/>
            <w:left w:w="108" w:type="dxa"/>
            <w:bottom w:w="0" w:type="dxa"/>
            <w:right w:w="108" w:type="dxa"/>
          </w:tblCellMar>
        </w:tblPrEx>
        <w:tc>
          <w:tcPr>
            <w:tcW w:w="1331" w:type="dxa"/>
            <w:tcBorders>
              <w:bottom w:val="single" w:color="auto" w:sz="12" w:space="0"/>
            </w:tcBorders>
            <w:shd w:val="clear" w:color="auto" w:fill="auto"/>
          </w:tcPr>
          <w:p>
            <w:pPr>
              <w:ind w:firstLine="0" w:firstLineChars="0"/>
              <w:jc w:val="center"/>
              <w:rPr>
                <w:kern w:val="0"/>
                <w:lang w:bidi="ar"/>
              </w:rPr>
            </w:pPr>
            <w:r>
              <w:rPr>
                <w:caps/>
                <w:kern w:val="0"/>
                <w:lang w:bidi="ar"/>
              </w:rPr>
              <w:t>小区</w:t>
            </w:r>
          </w:p>
        </w:tc>
        <w:tc>
          <w:tcPr>
            <w:tcW w:w="1332" w:type="dxa"/>
            <w:tcBorders>
              <w:bottom w:val="single" w:color="auto" w:sz="12" w:space="0"/>
            </w:tcBorders>
            <w:shd w:val="clear" w:color="auto" w:fill="auto"/>
          </w:tcPr>
          <w:p>
            <w:pPr>
              <w:ind w:firstLine="0" w:firstLineChars="0"/>
              <w:jc w:val="center"/>
              <w:rPr>
                <w:kern w:val="0"/>
              </w:rPr>
            </w:pPr>
            <w:r>
              <w:rPr>
                <w:kern w:val="0"/>
              </w:rPr>
              <w:t>10个</w:t>
            </w:r>
          </w:p>
        </w:tc>
        <w:tc>
          <w:tcPr>
            <w:tcW w:w="1330" w:type="dxa"/>
            <w:tcBorders>
              <w:bottom w:val="single" w:color="auto" w:sz="12" w:space="0"/>
            </w:tcBorders>
            <w:shd w:val="clear" w:color="auto" w:fill="auto"/>
          </w:tcPr>
          <w:p>
            <w:pPr>
              <w:ind w:firstLine="0" w:firstLineChars="0"/>
              <w:jc w:val="center"/>
              <w:rPr>
                <w:kern w:val="0"/>
              </w:rPr>
            </w:pPr>
            <w:r>
              <w:rPr>
                <w:kern w:val="0"/>
              </w:rPr>
              <w:t>12个</w:t>
            </w:r>
          </w:p>
        </w:tc>
        <w:tc>
          <w:tcPr>
            <w:tcW w:w="1077" w:type="dxa"/>
            <w:tcBorders>
              <w:bottom w:val="single" w:color="auto" w:sz="12" w:space="0"/>
            </w:tcBorders>
            <w:shd w:val="clear" w:color="auto" w:fill="auto"/>
          </w:tcPr>
          <w:p>
            <w:pPr>
              <w:ind w:firstLine="0" w:firstLineChars="0"/>
              <w:jc w:val="center"/>
              <w:rPr>
                <w:kern w:val="0"/>
              </w:rPr>
            </w:pPr>
            <w:r>
              <w:rPr>
                <w:kern w:val="0"/>
              </w:rPr>
              <w:t>14个</w:t>
            </w:r>
          </w:p>
        </w:tc>
        <w:tc>
          <w:tcPr>
            <w:tcW w:w="1417" w:type="dxa"/>
            <w:tcBorders>
              <w:bottom w:val="single" w:color="auto" w:sz="12" w:space="0"/>
            </w:tcBorders>
            <w:shd w:val="clear" w:color="auto" w:fill="auto"/>
          </w:tcPr>
          <w:p>
            <w:pPr>
              <w:ind w:firstLine="0" w:firstLineChars="0"/>
              <w:jc w:val="center"/>
              <w:rPr>
                <w:kern w:val="0"/>
              </w:rPr>
            </w:pPr>
            <w:r>
              <w:rPr>
                <w:kern w:val="0"/>
              </w:rPr>
              <w:t>40个</w:t>
            </w:r>
          </w:p>
        </w:tc>
        <w:tc>
          <w:tcPr>
            <w:tcW w:w="1469" w:type="dxa"/>
            <w:gridSpan w:val="2"/>
            <w:tcBorders>
              <w:bottom w:val="single" w:color="auto" w:sz="12" w:space="0"/>
            </w:tcBorders>
          </w:tcPr>
          <w:p>
            <w:pPr>
              <w:ind w:firstLine="0" w:firstLineChars="0"/>
              <w:jc w:val="center"/>
              <w:rPr>
                <w:kern w:val="0"/>
              </w:rPr>
            </w:pPr>
            <w:r>
              <w:rPr>
                <w:kern w:val="0"/>
              </w:rPr>
              <w:t>11个</w:t>
            </w:r>
          </w:p>
        </w:tc>
        <w:tc>
          <w:tcPr>
            <w:tcW w:w="1330" w:type="dxa"/>
            <w:tcBorders>
              <w:bottom w:val="single" w:color="auto" w:sz="12" w:space="0"/>
            </w:tcBorders>
            <w:shd w:val="clear" w:color="auto" w:fill="auto"/>
          </w:tcPr>
          <w:p>
            <w:pPr>
              <w:ind w:firstLine="0" w:firstLineChars="0"/>
              <w:jc w:val="center"/>
              <w:rPr>
                <w:kern w:val="0"/>
              </w:rPr>
            </w:pPr>
            <w:r>
              <w:rPr>
                <w:kern w:val="0"/>
              </w:rPr>
              <w:t>80个</w:t>
            </w:r>
          </w:p>
        </w:tc>
      </w:tr>
    </w:tbl>
    <w:p>
      <w:pPr>
        <w:spacing w:before="156" w:beforeLines="50"/>
        <w:ind w:firstLine="480"/>
      </w:pPr>
      <w:r>
        <w:t>那么我们可以得到“小区”的词向量为：[10,12,14,40,11,80,10]</w:t>
      </w:r>
    </w:p>
    <w:p>
      <w:pPr>
        <w:ind w:firstLine="480"/>
      </w:pPr>
      <w:r>
        <w:t>经过归一化后得到：[0.056 , 0.068 , 0.079 , 0.225 , 0.062 , 0.451 , 0.056]</w:t>
      </w:r>
    </w:p>
    <w:p>
      <w:pPr>
        <w:ind w:firstLine="480"/>
      </w:pPr>
      <w:r>
        <w:t>该向量的物理意义是：包含该单词的基站属于某一类型的概率，则根据上述例子包含“小区”的基站其最有可能出现在类型6中。我们对所有过滤后的单词进行了统计，得出了所有单词的词向量表。</w:t>
      </w:r>
    </w:p>
    <w:p>
      <w:pPr>
        <w:pStyle w:val="37"/>
      </w:pPr>
      <w:bookmarkStart w:id="207" w:name="_Toc7858030"/>
      <w:r>
        <w:rPr>
          <w:rFonts w:hint="eastAsia"/>
        </w:rPr>
        <w:t>5.</w:t>
      </w:r>
      <w:r>
        <w:t>3</w:t>
      </w:r>
      <w:r>
        <w:rPr>
          <w:rFonts w:hint="eastAsia"/>
        </w:rPr>
        <w:t>.3  单词信息熵</w:t>
      </w:r>
      <w:bookmarkEnd w:id="207"/>
    </w:p>
    <w:p>
      <w:pPr>
        <w:ind w:firstLine="480"/>
      </w:pPr>
      <w:r>
        <w:t>我们引入信息熵，量化单词</w:t>
      </w:r>
      <w:r>
        <w:rPr>
          <w:rFonts w:hint="eastAsia"/>
        </w:rPr>
        <w:t>的词</w:t>
      </w:r>
      <w:r>
        <w:t>向量在某一类型上的集中度。在信息论中，</w:t>
      </w:r>
      <w:bookmarkStart w:id="208" w:name="OLE_LINK62"/>
      <w:bookmarkStart w:id="209" w:name="OLE_LINK63"/>
      <w:r>
        <w:t>熵</w:t>
      </w:r>
      <w:bookmarkEnd w:id="208"/>
      <w:bookmarkEnd w:id="209"/>
      <w:r>
        <w:t>是接收的每条消息中包含的信息的平均量，又被称为</w:t>
      </w:r>
      <w:bookmarkStart w:id="210" w:name="OLE_LINK64"/>
      <w:bookmarkStart w:id="211" w:name="OLE_LINK65"/>
      <w:r>
        <w:t>信息熵</w:t>
      </w:r>
      <w:bookmarkEnd w:id="210"/>
      <w:bookmarkEnd w:id="211"/>
      <w:r>
        <w:rPr>
          <w:vertAlign w:val="superscript"/>
        </w:rPr>
        <w:t>[</w:t>
      </w:r>
      <w:r>
        <w:rPr>
          <w:vertAlign w:val="superscript"/>
        </w:rPr>
        <w:fldChar w:fldCharType="begin"/>
      </w:r>
      <w:r>
        <w:rPr>
          <w:vertAlign w:val="superscript"/>
        </w:rPr>
        <w:instrText xml:space="preserve"> REF BIB_jaynes1957information \h \* MERGEFORMAT </w:instrText>
      </w:r>
      <w:r>
        <w:rPr>
          <w:vertAlign w:val="superscript"/>
        </w:rPr>
        <w:fldChar w:fldCharType="separate"/>
      </w:r>
      <w:r>
        <w:rPr>
          <w:vertAlign w:val="superscript"/>
        </w:rPr>
        <w:t>42</w:t>
      </w:r>
      <w:r>
        <w:rPr>
          <w:vertAlign w:val="superscript"/>
        </w:rPr>
        <w:fldChar w:fldCharType="end"/>
      </w:r>
      <w:r>
        <w:rPr>
          <w:vertAlign w:val="superscript"/>
        </w:rPr>
        <w:t>]</w:t>
      </w:r>
      <w:r>
        <w:t>、信源熵、平均自信息量。引入的想法是如果某个单词的词向量集中于其中一个或两个类型，那么熵值就会很小 ，即包含该单词的基站更将有可能集中于某一类型。</w:t>
      </w:r>
    </w:p>
    <w:p>
      <w:pPr>
        <w:ind w:firstLine="480"/>
      </w:pPr>
      <w:r>
        <w:t>根据信息熵的计算公式：</w:t>
      </w:r>
    </w:p>
    <w:p>
      <w:pPr>
        <w:ind w:firstLine="480"/>
        <w:jc w:val="right"/>
      </w:pPr>
      <w:r>
        <w:rPr>
          <w:rStyle w:val="48"/>
        </w:rPr>
        <w:t>H</w:t>
      </w:r>
      <w:r>
        <w:rPr>
          <w:rStyle w:val="81"/>
        </w:rPr>
        <w:t>(</w:t>
      </w:r>
      <w:r>
        <w:rPr>
          <w:rStyle w:val="48"/>
        </w:rPr>
        <w:t>X</w:t>
      </w:r>
      <w:r>
        <w:rPr>
          <w:rStyle w:val="81"/>
        </w:rPr>
        <w:t>)</w:t>
      </w:r>
      <w:r>
        <w:rPr>
          <w:rStyle w:val="81"/>
          <w:rFonts w:hint="eastAsia"/>
        </w:rPr>
        <w:t xml:space="preserve"> </w:t>
      </w:r>
      <w:r>
        <w:rPr>
          <w:rStyle w:val="81"/>
        </w:rPr>
        <w:t>=</w:t>
      </w:r>
      <w:r>
        <w:rPr>
          <w:rStyle w:val="81"/>
          <w:rFonts w:hint="eastAsia"/>
        </w:rPr>
        <w:t xml:space="preserve"> </w:t>
      </w:r>
      <w:r>
        <w:rPr>
          <w:rStyle w:val="81"/>
        </w:rPr>
        <w:t>−</w:t>
      </w:r>
      <w:r>
        <w:rPr>
          <w:rStyle w:val="81"/>
          <w:rFonts w:hint="eastAsia"/>
        </w:rPr>
        <w:t xml:space="preserve"> </w:t>
      </w:r>
      <w:r>
        <w:rPr>
          <w:rStyle w:val="81"/>
        </w:rPr>
        <w:t>∑</w:t>
      </w:r>
      <w:r>
        <w:rPr>
          <w:rStyle w:val="81"/>
          <w:rFonts w:hint="eastAsia"/>
        </w:rPr>
        <w:t xml:space="preserve"> </w:t>
      </w:r>
      <w:r>
        <w:rPr>
          <w:rStyle w:val="48"/>
        </w:rPr>
        <w:t>p</w:t>
      </w:r>
      <w:r>
        <w:rPr>
          <w:rStyle w:val="81"/>
        </w:rPr>
        <w:t>(</w:t>
      </w:r>
      <w:r>
        <w:rPr>
          <w:rStyle w:val="48"/>
        </w:rPr>
        <w:t>xi</w:t>
      </w:r>
      <w:r>
        <w:rPr>
          <w:rStyle w:val="81"/>
        </w:rPr>
        <w:t>)</w:t>
      </w:r>
      <w:r>
        <w:rPr>
          <w:rStyle w:val="81"/>
          <w:rFonts w:hint="eastAsia"/>
        </w:rPr>
        <w:t xml:space="preserve"> </w:t>
      </w:r>
      <w:r>
        <w:rPr>
          <w:rStyle w:val="48"/>
        </w:rPr>
        <w:t>log</w:t>
      </w:r>
      <w:r>
        <w:rPr>
          <w:rStyle w:val="81"/>
        </w:rPr>
        <w:t>(</w:t>
      </w:r>
      <w:r>
        <w:rPr>
          <w:rStyle w:val="81"/>
          <w:rFonts w:hint="eastAsia"/>
        </w:rPr>
        <w:t xml:space="preserve"> </w:t>
      </w:r>
      <w:r>
        <w:rPr>
          <w:rStyle w:val="48"/>
        </w:rPr>
        <w:t>p</w:t>
      </w:r>
      <w:r>
        <w:rPr>
          <w:rStyle w:val="81"/>
        </w:rPr>
        <w:t>(</w:t>
      </w:r>
      <w:r>
        <w:rPr>
          <w:rStyle w:val="48"/>
        </w:rPr>
        <w:t>xi</w:t>
      </w:r>
      <w:r>
        <w:rPr>
          <w:rStyle w:val="81"/>
        </w:rPr>
        <w:t>)</w:t>
      </w:r>
      <w:r>
        <w:rPr>
          <w:rStyle w:val="81"/>
          <w:rFonts w:hint="eastAsia"/>
        </w:rPr>
        <w:t xml:space="preserve"> </w:t>
      </w:r>
      <w:r>
        <w:rPr>
          <w:rStyle w:val="81"/>
        </w:rPr>
        <w:t>)</w:t>
      </w:r>
      <w:r>
        <w:rPr>
          <w:rStyle w:val="67"/>
        </w:rPr>
        <w:t>    </w:t>
      </w:r>
      <w:r>
        <w:rPr>
          <w:rStyle w:val="81"/>
        </w:rPr>
        <w:t>(</w:t>
      </w:r>
      <w:r>
        <w:rPr>
          <w:rStyle w:val="48"/>
        </w:rPr>
        <w:t>i</w:t>
      </w:r>
      <w:r>
        <w:rPr>
          <w:rStyle w:val="81"/>
        </w:rPr>
        <w:t>=</w:t>
      </w:r>
      <w:r>
        <w:rPr>
          <w:rStyle w:val="82"/>
        </w:rPr>
        <w:t>1</w:t>
      </w:r>
      <w:r>
        <w:rPr>
          <w:rStyle w:val="81"/>
        </w:rPr>
        <w:t>,</w:t>
      </w:r>
      <w:r>
        <w:rPr>
          <w:rStyle w:val="82"/>
        </w:rPr>
        <w:t>2</w:t>
      </w:r>
      <w:r>
        <w:rPr>
          <w:rStyle w:val="81"/>
        </w:rPr>
        <w:t>,…,</w:t>
      </w:r>
      <w:r>
        <w:rPr>
          <w:rStyle w:val="48"/>
        </w:rPr>
        <w:t>n</w:t>
      </w:r>
      <w:r>
        <w:rPr>
          <w:rStyle w:val="81"/>
        </w:rPr>
        <w:t>)</w:t>
      </w:r>
      <w:r>
        <w:rPr>
          <w:rStyle w:val="81"/>
          <w:rFonts w:hint="eastAsia"/>
        </w:rPr>
        <w:t xml:space="preserve">                 (5-1)</w:t>
      </w:r>
    </w:p>
    <w:p>
      <w:pPr>
        <w:ind w:firstLine="630" w:firstLineChars="300"/>
      </w:pPr>
      <w:r>
        <w:rPr>
          <w:sz w:val="21"/>
        </w:rPr>
        <w:drawing>
          <wp:anchor distT="0" distB="0" distL="114300" distR="114300" simplePos="0" relativeHeight="251649024" behindDoc="0" locked="0" layoutInCell="1" allowOverlap="1">
            <wp:simplePos x="0" y="0"/>
            <wp:positionH relativeFrom="margin">
              <wp:posOffset>951865</wp:posOffset>
            </wp:positionH>
            <wp:positionV relativeFrom="paragraph">
              <wp:posOffset>322580</wp:posOffset>
            </wp:positionV>
            <wp:extent cx="3855720" cy="2476500"/>
            <wp:effectExtent l="0" t="0" r="0" b="0"/>
            <wp:wrapTopAndBottom/>
            <wp:docPr id="11" name="图片 4" descr="ent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entroy"/>
                    <pic:cNvPicPr>
                      <a:picLocks noChangeAspect="1"/>
                    </pic:cNvPicPr>
                  </pic:nvPicPr>
                  <pic:blipFill>
                    <a:blip r:embed="rId60"/>
                    <a:stretch>
                      <a:fillRect/>
                    </a:stretch>
                  </pic:blipFill>
                  <pic:spPr>
                    <a:xfrm>
                      <a:off x="0" y="0"/>
                      <a:ext cx="3855600" cy="2476800"/>
                    </a:xfrm>
                    <a:prstGeom prst="rect">
                      <a:avLst/>
                    </a:prstGeom>
                    <a:noFill/>
                    <a:ln>
                      <a:noFill/>
                    </a:ln>
                  </pic:spPr>
                </pic:pic>
              </a:graphicData>
            </a:graphic>
          </wp:anchor>
        </w:drawing>
      </w:r>
      <w:r>
        <w:t>我们对所有过滤后的单词进行计算，并且统计了信息熵的分布情况如图</w:t>
      </w:r>
      <w:r>
        <w:rPr>
          <w:rFonts w:hint="eastAsia"/>
        </w:rPr>
        <w:t>5-3</w:t>
      </w:r>
      <w:r>
        <w:t>所示。</w:t>
      </w:r>
    </w:p>
    <w:p>
      <w:pPr>
        <w:spacing w:before="156" w:beforeLines="50" w:line="240" w:lineRule="auto"/>
        <w:ind w:firstLine="420"/>
        <w:jc w:val="center"/>
        <w:rPr>
          <w:sz w:val="21"/>
          <w:szCs w:val="21"/>
        </w:rPr>
      </w:pPr>
      <w:r>
        <w:rPr>
          <w:sz w:val="21"/>
          <w:szCs w:val="21"/>
        </w:rPr>
        <w:t>图</w:t>
      </w:r>
      <w:r>
        <w:rPr>
          <w:rFonts w:hint="eastAsia"/>
          <w:sz w:val="21"/>
          <w:szCs w:val="21"/>
        </w:rPr>
        <w:t>5</w:t>
      </w:r>
      <w:r>
        <w:rPr>
          <w:sz w:val="21"/>
          <w:szCs w:val="21"/>
        </w:rPr>
        <w:t>-</w:t>
      </w:r>
      <w:r>
        <w:rPr>
          <w:rFonts w:hint="eastAsia"/>
          <w:sz w:val="21"/>
          <w:szCs w:val="21"/>
        </w:rPr>
        <w:t>3 单词熵值直方图</w:t>
      </w:r>
    </w:p>
    <w:p>
      <w:pPr>
        <w:spacing w:after="156" w:afterLines="50" w:line="240" w:lineRule="auto"/>
        <w:ind w:firstLine="420"/>
        <w:jc w:val="center"/>
        <w:rPr>
          <w:sz w:val="21"/>
          <w:szCs w:val="21"/>
        </w:rPr>
      </w:pPr>
      <w:r>
        <w:rPr>
          <w:sz w:val="21"/>
          <w:szCs w:val="21"/>
        </w:rPr>
        <w:t xml:space="preserve">Figure </w:t>
      </w:r>
      <w:r>
        <w:rPr>
          <w:rFonts w:hint="eastAsia"/>
          <w:sz w:val="21"/>
          <w:szCs w:val="21"/>
        </w:rPr>
        <w:t>5</w:t>
      </w:r>
      <w:r>
        <w:rPr>
          <w:sz w:val="21"/>
          <w:szCs w:val="21"/>
        </w:rPr>
        <w:t>-</w:t>
      </w:r>
      <w:r>
        <w:rPr>
          <w:rFonts w:hint="eastAsia"/>
          <w:sz w:val="21"/>
          <w:szCs w:val="21"/>
        </w:rPr>
        <w:t>3 Word Entropy Histogram</w:t>
      </w:r>
    </w:p>
    <w:p>
      <w:pPr>
        <w:ind w:firstLine="480"/>
      </w:pPr>
      <w:r>
        <w:t>信息熵整体分布类似正态分布，</w:t>
      </w:r>
      <w:r>
        <w:rPr>
          <w:rFonts w:hint="eastAsia"/>
        </w:rPr>
        <w:t>我们将选定信息熵阈值，作为筛选合适数量词语的超参数</w:t>
      </w:r>
      <w:bookmarkStart w:id="212" w:name="_Toc6320105"/>
      <w:bookmarkEnd w:id="212"/>
      <w:bookmarkStart w:id="213" w:name="_Toc6796427"/>
      <w:bookmarkEnd w:id="213"/>
      <w:bookmarkStart w:id="214" w:name="_Toc6318934"/>
      <w:bookmarkEnd w:id="214"/>
      <w:bookmarkStart w:id="215" w:name="_Toc6315070"/>
      <w:bookmarkEnd w:id="215"/>
      <w:bookmarkStart w:id="216" w:name="_Toc5078"/>
      <w:bookmarkEnd w:id="216"/>
      <w:bookmarkStart w:id="217" w:name="_Toc6318831"/>
      <w:bookmarkEnd w:id="217"/>
      <w:r>
        <w:rPr>
          <w:rFonts w:hint="eastAsia"/>
        </w:rPr>
        <w:t>。</w:t>
      </w:r>
    </w:p>
    <w:p>
      <w:pPr>
        <w:pStyle w:val="37"/>
      </w:pPr>
      <w:bookmarkStart w:id="218" w:name="_Toc6320106"/>
      <w:bookmarkStart w:id="219" w:name="_Toc7858031"/>
      <w:r>
        <w:rPr>
          <w:rFonts w:hint="eastAsia"/>
        </w:rPr>
        <w:t>5.</w:t>
      </w:r>
      <w:r>
        <w:t>3</w:t>
      </w:r>
      <w:r>
        <w:rPr>
          <w:rFonts w:hint="eastAsia"/>
        </w:rPr>
        <w:t>.4  单词模式区分度</w:t>
      </w:r>
      <w:bookmarkEnd w:id="218"/>
      <w:bookmarkEnd w:id="219"/>
    </w:p>
    <w:p>
      <w:pPr>
        <w:ind w:firstLine="480"/>
      </w:pPr>
      <w:r>
        <w:t>我们选取了三个单词具体说明单词个体其具有的流量模式区分度及其作用。我们首先选取了三个单词：“校区”、“职业”、“潜川镇”，具体信息如下表</w:t>
      </w:r>
      <w:r>
        <w:rPr>
          <w:rFonts w:hint="eastAsia"/>
        </w:rPr>
        <w:t>5-2</w:t>
      </w:r>
      <w:r>
        <w:t>所示。</w:t>
      </w:r>
    </w:p>
    <w:p>
      <w:pPr>
        <w:spacing w:before="156" w:beforeLines="50" w:line="240" w:lineRule="auto"/>
        <w:ind w:firstLine="357" w:firstLineChars="0"/>
        <w:jc w:val="center"/>
        <w:rPr>
          <w:sz w:val="21"/>
          <w:szCs w:val="21"/>
        </w:rPr>
      </w:pPr>
      <w:r>
        <w:rPr>
          <w:sz w:val="21"/>
          <w:szCs w:val="21"/>
        </w:rPr>
        <w:t>表5-2 单词所包含的基站数与信息熵</w:t>
      </w:r>
    </w:p>
    <w:p>
      <w:pPr>
        <w:spacing w:after="156" w:afterLines="50" w:line="240" w:lineRule="auto"/>
        <w:ind w:firstLine="0" w:firstLineChars="0"/>
        <w:jc w:val="center"/>
        <w:rPr>
          <w:sz w:val="21"/>
          <w:szCs w:val="21"/>
        </w:rPr>
      </w:pPr>
      <w:r>
        <w:rPr>
          <w:sz w:val="21"/>
          <w:szCs w:val="21"/>
        </w:rPr>
        <w:t>Table 5-2 Number of Base Stations and Information Entropy Contained in Words</w:t>
      </w:r>
    </w:p>
    <w:tbl>
      <w:tblPr>
        <w:tblStyle w:val="24"/>
        <w:tblW w:w="9286" w:type="dxa"/>
        <w:tblInd w:w="0" w:type="dxa"/>
        <w:tblLayout w:type="fixed"/>
        <w:tblCellMar>
          <w:top w:w="0" w:type="dxa"/>
          <w:left w:w="108" w:type="dxa"/>
          <w:bottom w:w="0" w:type="dxa"/>
          <w:right w:w="108" w:type="dxa"/>
        </w:tblCellMar>
      </w:tblPr>
      <w:tblGrid>
        <w:gridCol w:w="3096"/>
        <w:gridCol w:w="3096"/>
        <w:gridCol w:w="3094"/>
      </w:tblGrid>
      <w:tr>
        <w:tblPrEx>
          <w:tblLayout w:type="fixed"/>
          <w:tblCellMar>
            <w:top w:w="0" w:type="dxa"/>
            <w:left w:w="108" w:type="dxa"/>
            <w:bottom w:w="0" w:type="dxa"/>
            <w:right w:w="108" w:type="dxa"/>
          </w:tblCellMar>
        </w:tblPrEx>
        <w:trPr>
          <w:trHeight w:val="126" w:hRule="atLeast"/>
        </w:trPr>
        <w:tc>
          <w:tcPr>
            <w:tcW w:w="3096" w:type="dxa"/>
            <w:tcBorders>
              <w:top w:val="single" w:color="auto" w:sz="12" w:space="0"/>
              <w:bottom w:val="single" w:color="auto" w:sz="4" w:space="0"/>
            </w:tcBorders>
            <w:shd w:val="clear" w:color="auto" w:fill="auto"/>
          </w:tcPr>
          <w:p>
            <w:pPr>
              <w:ind w:firstLine="480"/>
              <w:jc w:val="center"/>
              <w:rPr>
                <w:kern w:val="0"/>
              </w:rPr>
            </w:pPr>
            <w:r>
              <w:rPr>
                <w:caps/>
                <w:kern w:val="0"/>
              </w:rPr>
              <w:t>单词</w:t>
            </w:r>
          </w:p>
        </w:tc>
        <w:tc>
          <w:tcPr>
            <w:tcW w:w="3096" w:type="dxa"/>
            <w:tcBorders>
              <w:top w:val="single" w:color="auto" w:sz="12" w:space="0"/>
              <w:bottom w:val="single" w:color="auto" w:sz="4" w:space="0"/>
            </w:tcBorders>
            <w:shd w:val="clear" w:color="auto" w:fill="auto"/>
          </w:tcPr>
          <w:p>
            <w:pPr>
              <w:ind w:firstLine="480"/>
              <w:jc w:val="center"/>
              <w:rPr>
                <w:kern w:val="0"/>
              </w:rPr>
            </w:pPr>
            <w:r>
              <w:rPr>
                <w:caps/>
                <w:kern w:val="0"/>
              </w:rPr>
              <w:t>基站数量</w:t>
            </w:r>
          </w:p>
        </w:tc>
        <w:tc>
          <w:tcPr>
            <w:tcW w:w="3094" w:type="dxa"/>
            <w:tcBorders>
              <w:top w:val="single" w:color="auto" w:sz="12" w:space="0"/>
              <w:bottom w:val="single" w:color="auto" w:sz="4" w:space="0"/>
            </w:tcBorders>
            <w:shd w:val="clear" w:color="auto" w:fill="auto"/>
          </w:tcPr>
          <w:p>
            <w:pPr>
              <w:ind w:firstLine="480"/>
              <w:jc w:val="center"/>
              <w:rPr>
                <w:kern w:val="0"/>
              </w:rPr>
            </w:pPr>
            <w:r>
              <w:rPr>
                <w:caps/>
                <w:kern w:val="0"/>
              </w:rPr>
              <w:t>信息熵</w:t>
            </w:r>
          </w:p>
        </w:tc>
      </w:tr>
      <w:tr>
        <w:tblPrEx>
          <w:tblLayout w:type="fixed"/>
          <w:tblCellMar>
            <w:top w:w="0" w:type="dxa"/>
            <w:left w:w="108" w:type="dxa"/>
            <w:bottom w:w="0" w:type="dxa"/>
            <w:right w:w="108" w:type="dxa"/>
          </w:tblCellMar>
        </w:tblPrEx>
        <w:trPr>
          <w:trHeight w:val="126" w:hRule="atLeast"/>
        </w:trPr>
        <w:tc>
          <w:tcPr>
            <w:tcW w:w="3096" w:type="dxa"/>
            <w:tcBorders>
              <w:top w:val="single" w:color="auto" w:sz="4" w:space="0"/>
            </w:tcBorders>
            <w:shd w:val="clear" w:color="auto" w:fill="auto"/>
          </w:tcPr>
          <w:p>
            <w:pPr>
              <w:ind w:firstLine="480"/>
              <w:jc w:val="center"/>
              <w:rPr>
                <w:caps/>
              </w:rPr>
            </w:pPr>
            <w:r>
              <w:rPr>
                <w:caps/>
              </w:rPr>
              <w:t>校区</w:t>
            </w:r>
          </w:p>
        </w:tc>
        <w:tc>
          <w:tcPr>
            <w:tcW w:w="3096" w:type="dxa"/>
            <w:tcBorders>
              <w:top w:val="single" w:color="auto" w:sz="4" w:space="0"/>
            </w:tcBorders>
            <w:shd w:val="clear" w:color="auto" w:fill="auto"/>
          </w:tcPr>
          <w:p>
            <w:pPr>
              <w:ind w:firstLine="480"/>
              <w:jc w:val="center"/>
            </w:pPr>
            <w:r>
              <w:t>101</w:t>
            </w:r>
          </w:p>
        </w:tc>
        <w:tc>
          <w:tcPr>
            <w:tcW w:w="3094" w:type="dxa"/>
            <w:tcBorders>
              <w:top w:val="single" w:color="auto" w:sz="4" w:space="0"/>
            </w:tcBorders>
            <w:shd w:val="clear" w:color="auto" w:fill="auto"/>
          </w:tcPr>
          <w:p>
            <w:pPr>
              <w:pStyle w:val="22"/>
              <w:widowControl/>
              <w:ind w:firstLine="480"/>
              <w:jc w:val="center"/>
              <w:rPr>
                <w:rFonts w:ascii="Times New Roman" w:hAnsi="Times New Roman"/>
              </w:rPr>
            </w:pPr>
            <w:r>
              <w:rPr>
                <w:rFonts w:ascii="Times New Roman" w:hAnsi="Times New Roman"/>
              </w:rPr>
              <w:t>1.366251</w:t>
            </w:r>
          </w:p>
        </w:tc>
      </w:tr>
      <w:tr>
        <w:tblPrEx>
          <w:tblLayout w:type="fixed"/>
          <w:tblCellMar>
            <w:top w:w="0" w:type="dxa"/>
            <w:left w:w="108" w:type="dxa"/>
            <w:bottom w:w="0" w:type="dxa"/>
            <w:right w:w="108" w:type="dxa"/>
          </w:tblCellMar>
        </w:tblPrEx>
        <w:trPr>
          <w:trHeight w:val="126" w:hRule="atLeast"/>
        </w:trPr>
        <w:tc>
          <w:tcPr>
            <w:tcW w:w="3096" w:type="dxa"/>
            <w:shd w:val="clear" w:color="auto" w:fill="auto"/>
          </w:tcPr>
          <w:p>
            <w:pPr>
              <w:ind w:firstLine="480"/>
              <w:jc w:val="center"/>
              <w:rPr>
                <w:caps/>
              </w:rPr>
            </w:pPr>
            <w:r>
              <w:rPr>
                <w:rFonts w:hint="eastAsia"/>
                <w:caps/>
              </w:rPr>
              <w:t>楼塔</w:t>
            </w:r>
            <w:r>
              <w:rPr>
                <w:caps/>
              </w:rPr>
              <w:t>镇</w:t>
            </w:r>
          </w:p>
        </w:tc>
        <w:tc>
          <w:tcPr>
            <w:tcW w:w="3096" w:type="dxa"/>
            <w:shd w:val="clear" w:color="auto" w:fill="auto"/>
          </w:tcPr>
          <w:p>
            <w:pPr>
              <w:ind w:firstLine="480"/>
              <w:jc w:val="center"/>
            </w:pPr>
            <w:r>
              <w:t>11</w:t>
            </w:r>
          </w:p>
        </w:tc>
        <w:tc>
          <w:tcPr>
            <w:tcW w:w="3094" w:type="dxa"/>
            <w:shd w:val="clear" w:color="auto" w:fill="auto"/>
          </w:tcPr>
          <w:p>
            <w:pPr>
              <w:pStyle w:val="22"/>
              <w:widowControl/>
              <w:ind w:firstLine="480"/>
              <w:jc w:val="center"/>
              <w:rPr>
                <w:rFonts w:ascii="Times New Roman" w:hAnsi="Times New Roman"/>
              </w:rPr>
            </w:pPr>
            <w:r>
              <w:rPr>
                <w:rFonts w:ascii="Times New Roman" w:hAnsi="Times New Roman"/>
              </w:rPr>
              <w:t>1.540306</w:t>
            </w:r>
          </w:p>
        </w:tc>
      </w:tr>
      <w:tr>
        <w:tblPrEx>
          <w:tblLayout w:type="fixed"/>
          <w:tblCellMar>
            <w:top w:w="0" w:type="dxa"/>
            <w:left w:w="108" w:type="dxa"/>
            <w:bottom w:w="0" w:type="dxa"/>
            <w:right w:w="108" w:type="dxa"/>
          </w:tblCellMar>
        </w:tblPrEx>
        <w:trPr>
          <w:trHeight w:val="126" w:hRule="atLeast"/>
        </w:trPr>
        <w:tc>
          <w:tcPr>
            <w:tcW w:w="3096" w:type="dxa"/>
            <w:tcBorders>
              <w:bottom w:val="single" w:color="auto" w:sz="12" w:space="0"/>
            </w:tcBorders>
            <w:shd w:val="clear" w:color="auto" w:fill="auto"/>
          </w:tcPr>
          <w:p>
            <w:pPr>
              <w:ind w:firstLine="480"/>
              <w:jc w:val="center"/>
              <w:rPr>
                <w:caps/>
              </w:rPr>
            </w:pPr>
            <w:r>
              <w:rPr>
                <w:caps/>
              </w:rPr>
              <w:t>建德</w:t>
            </w:r>
          </w:p>
        </w:tc>
        <w:tc>
          <w:tcPr>
            <w:tcW w:w="3096" w:type="dxa"/>
            <w:tcBorders>
              <w:bottom w:val="single" w:color="auto" w:sz="12" w:space="0"/>
            </w:tcBorders>
            <w:shd w:val="clear" w:color="auto" w:fill="auto"/>
          </w:tcPr>
          <w:p>
            <w:pPr>
              <w:ind w:firstLine="480"/>
              <w:jc w:val="center"/>
            </w:pPr>
            <w:r>
              <w:t>151</w:t>
            </w:r>
          </w:p>
        </w:tc>
        <w:tc>
          <w:tcPr>
            <w:tcW w:w="3094" w:type="dxa"/>
            <w:tcBorders>
              <w:bottom w:val="single" w:color="auto" w:sz="12" w:space="0"/>
            </w:tcBorders>
            <w:shd w:val="clear" w:color="auto" w:fill="auto"/>
          </w:tcPr>
          <w:p>
            <w:pPr>
              <w:pStyle w:val="22"/>
              <w:widowControl/>
              <w:ind w:firstLine="480"/>
              <w:jc w:val="center"/>
              <w:rPr>
                <w:rFonts w:ascii="Times New Roman" w:hAnsi="Times New Roman"/>
              </w:rPr>
            </w:pPr>
            <w:r>
              <w:rPr>
                <w:rFonts w:ascii="Times New Roman" w:hAnsi="Times New Roman"/>
              </w:rPr>
              <w:t>1.421847</w:t>
            </w:r>
          </w:p>
        </w:tc>
      </w:tr>
    </w:tbl>
    <w:p>
      <w:pPr>
        <w:spacing w:before="156" w:beforeLines="50"/>
        <w:ind w:firstLine="480"/>
      </w:pPr>
      <w:r>
        <w:drawing>
          <wp:anchor distT="0" distB="0" distL="114300" distR="114300" simplePos="0" relativeHeight="251643904" behindDoc="0" locked="0" layoutInCell="1" allowOverlap="1">
            <wp:simplePos x="0" y="0"/>
            <wp:positionH relativeFrom="margin">
              <wp:posOffset>-115570</wp:posOffset>
            </wp:positionH>
            <wp:positionV relativeFrom="paragraph">
              <wp:posOffset>575945</wp:posOffset>
            </wp:positionV>
            <wp:extent cx="5990590" cy="1997075"/>
            <wp:effectExtent l="0" t="0" r="0" b="3175"/>
            <wp:wrapTopAndBottom/>
            <wp:docPr id="13" name="图片 28" descr="three_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three_words"/>
                    <pic:cNvPicPr>
                      <a:picLocks noChangeAspect="1"/>
                    </pic:cNvPicPr>
                  </pic:nvPicPr>
                  <pic:blipFill>
                    <a:blip r:embed="rId61"/>
                    <a:stretch>
                      <a:fillRect/>
                    </a:stretch>
                  </pic:blipFill>
                  <pic:spPr>
                    <a:xfrm>
                      <a:off x="0" y="0"/>
                      <a:ext cx="5990590" cy="1997075"/>
                    </a:xfrm>
                    <a:prstGeom prst="rect">
                      <a:avLst/>
                    </a:prstGeom>
                    <a:noFill/>
                    <a:ln>
                      <a:noFill/>
                    </a:ln>
                  </pic:spPr>
                </pic:pic>
              </a:graphicData>
            </a:graphic>
          </wp:anchor>
        </w:drawing>
      </w:r>
      <w:r>
        <w:rPr>
          <w:sz w:val="21"/>
          <w:lang w:bidi="ar"/>
        </w:rPr>
        <w:t>同时我们将以上三个单词的词向量以条形图方式绘出，说明其在流量模式区分时的作用，如下图5</w:t>
      </w:r>
      <w:r>
        <w:rPr>
          <w:rFonts w:hint="eastAsia"/>
          <w:sz w:val="21"/>
          <w:lang w:bidi="ar"/>
        </w:rPr>
        <w:t>-</w:t>
      </w:r>
      <w:r>
        <w:rPr>
          <w:sz w:val="21"/>
          <w:lang w:bidi="ar"/>
        </w:rPr>
        <w:t>4所示。</w:t>
      </w:r>
    </w:p>
    <w:p>
      <w:pPr>
        <w:spacing w:before="156" w:beforeLines="50" w:line="240" w:lineRule="auto"/>
        <w:ind w:firstLine="420"/>
        <w:jc w:val="center"/>
        <w:rPr>
          <w:sz w:val="21"/>
          <w:szCs w:val="21"/>
        </w:rPr>
      </w:pPr>
      <w:r>
        <w:rPr>
          <w:sz w:val="21"/>
          <w:szCs w:val="21"/>
        </w:rPr>
        <w:t>图</w:t>
      </w:r>
      <w:r>
        <w:rPr>
          <w:rFonts w:hint="eastAsia"/>
          <w:sz w:val="21"/>
          <w:szCs w:val="21"/>
        </w:rPr>
        <w:t>5</w:t>
      </w:r>
      <w:r>
        <w:rPr>
          <w:sz w:val="21"/>
          <w:szCs w:val="21"/>
        </w:rPr>
        <w:t>-</w:t>
      </w:r>
      <w:r>
        <w:rPr>
          <w:rFonts w:hint="eastAsia"/>
          <w:sz w:val="21"/>
          <w:szCs w:val="21"/>
        </w:rPr>
        <w:t xml:space="preserve">4 </w:t>
      </w:r>
      <w:r>
        <w:rPr>
          <w:sz w:val="21"/>
          <w:szCs w:val="21"/>
          <w:lang w:bidi="ar"/>
        </w:rPr>
        <w:t>三个单词的词向量</w:t>
      </w:r>
      <w:r>
        <w:rPr>
          <w:rFonts w:hint="eastAsia"/>
          <w:sz w:val="21"/>
          <w:szCs w:val="21"/>
          <w:lang w:bidi="ar"/>
        </w:rPr>
        <w:t>条形图</w:t>
      </w:r>
    </w:p>
    <w:p>
      <w:pPr>
        <w:spacing w:after="156" w:afterLines="50" w:line="240" w:lineRule="auto"/>
        <w:ind w:firstLine="420"/>
        <w:jc w:val="center"/>
        <w:rPr>
          <w:sz w:val="21"/>
          <w:szCs w:val="21"/>
        </w:rPr>
      </w:pPr>
      <w:r>
        <w:rPr>
          <w:sz w:val="21"/>
          <w:szCs w:val="21"/>
        </w:rPr>
        <w:t xml:space="preserve">Figure </w:t>
      </w:r>
      <w:r>
        <w:rPr>
          <w:rFonts w:hint="eastAsia"/>
          <w:sz w:val="21"/>
          <w:szCs w:val="21"/>
        </w:rPr>
        <w:t>5</w:t>
      </w:r>
      <w:r>
        <w:rPr>
          <w:sz w:val="21"/>
          <w:szCs w:val="21"/>
        </w:rPr>
        <w:t>-</w:t>
      </w:r>
      <w:r>
        <w:rPr>
          <w:rFonts w:hint="eastAsia"/>
          <w:sz w:val="21"/>
          <w:szCs w:val="21"/>
        </w:rPr>
        <w:t>4 Three Word Word Vector Bar Chart</w:t>
      </w:r>
    </w:p>
    <w:p>
      <w:pPr>
        <w:ind w:firstLine="480"/>
      </w:pPr>
      <w:r>
        <w:t>如图</w:t>
      </w:r>
      <w:r>
        <w:rPr>
          <w:rFonts w:hint="eastAsia"/>
        </w:rPr>
        <w:t>5-4</w:t>
      </w:r>
      <w:r>
        <w:t>所示，每个单词的词向量表征其包含该单词的基站归于七类流量模式中各类型的概率（包含Others类型），所以在单词“学校”的词向量条形图中能够看出包含“学校”的基站，例如“某市大学附属学校”的基站更偏向于类型1，同样包含“职业”的基站更加偏向类型1、2,；包含“潜川镇”的基站更加偏向类型0、4。单词之间分布集中在不同类型上，使得其具有一定的模式区分度。</w:t>
      </w:r>
    </w:p>
    <w:p>
      <w:pPr>
        <w:ind w:firstLine="480"/>
      </w:pPr>
      <w:r>
        <w:drawing>
          <wp:anchor distT="0" distB="0" distL="114300" distR="114300" simplePos="0" relativeHeight="251660288" behindDoc="0" locked="0" layoutInCell="1" allowOverlap="1">
            <wp:simplePos x="0" y="0"/>
            <wp:positionH relativeFrom="margin">
              <wp:align>center</wp:align>
            </wp:positionH>
            <wp:positionV relativeFrom="paragraph">
              <wp:posOffset>589915</wp:posOffset>
            </wp:positionV>
            <wp:extent cx="3615055" cy="3065145"/>
            <wp:effectExtent l="0" t="0" r="4445" b="1905"/>
            <wp:wrapTopAndBottom/>
            <wp:docPr id="9" name="图片 9" descr="C:\Users\su\Desktop\驱蚊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su\Desktop\驱蚊器.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615055" cy="3065145"/>
                    </a:xfrm>
                    <a:prstGeom prst="rect">
                      <a:avLst/>
                    </a:prstGeom>
                    <a:noFill/>
                    <a:ln>
                      <a:noFill/>
                    </a:ln>
                  </pic:spPr>
                </pic:pic>
              </a:graphicData>
            </a:graphic>
          </wp:anchor>
        </w:drawing>
      </w:r>
      <w:r>
        <w:t>我们又对过滤后单词的词向量进行汇总，制作做了七个维度（表示包含“</w:t>
      </w:r>
      <w:r>
        <w:rPr>
          <w:rFonts w:hint="eastAsia"/>
        </w:rPr>
        <w:t>其他</w:t>
      </w:r>
      <w:r>
        <w:t>”类型在内的七种流量类型）的热力图</w:t>
      </w:r>
      <w:r>
        <w:rPr>
          <w:rFonts w:hint="eastAsia"/>
        </w:rPr>
        <w:t>，</w:t>
      </w:r>
      <w:r>
        <w:t>如图</w:t>
      </w:r>
      <w:r>
        <w:rPr>
          <w:rFonts w:hint="eastAsia"/>
        </w:rPr>
        <w:t>5-5</w:t>
      </w:r>
      <w:r>
        <w:t>所示。</w:t>
      </w:r>
    </w:p>
    <w:p>
      <w:pPr>
        <w:spacing w:before="156" w:beforeLines="50" w:line="240" w:lineRule="auto"/>
        <w:ind w:firstLine="420"/>
        <w:jc w:val="center"/>
        <w:rPr>
          <w:sz w:val="21"/>
          <w:szCs w:val="21"/>
        </w:rPr>
      </w:pPr>
      <w:r>
        <w:rPr>
          <w:sz w:val="21"/>
          <w:szCs w:val="21"/>
        </w:rPr>
        <w:t>图</w:t>
      </w:r>
      <w:r>
        <w:rPr>
          <w:rFonts w:hint="eastAsia"/>
          <w:sz w:val="21"/>
          <w:szCs w:val="21"/>
        </w:rPr>
        <w:t>5</w:t>
      </w:r>
      <w:r>
        <w:rPr>
          <w:sz w:val="21"/>
          <w:szCs w:val="21"/>
        </w:rPr>
        <w:t>-</w:t>
      </w:r>
      <w:r>
        <w:rPr>
          <w:rFonts w:hint="eastAsia"/>
          <w:sz w:val="21"/>
          <w:szCs w:val="21"/>
        </w:rPr>
        <w:t>5 所有</w:t>
      </w:r>
      <w:r>
        <w:rPr>
          <w:sz w:val="21"/>
          <w:szCs w:val="21"/>
          <w:lang w:bidi="ar"/>
        </w:rPr>
        <w:t>单词词向量</w:t>
      </w:r>
      <w:r>
        <w:rPr>
          <w:rFonts w:hint="eastAsia"/>
          <w:sz w:val="21"/>
          <w:szCs w:val="21"/>
          <w:lang w:bidi="ar"/>
        </w:rPr>
        <w:t>热力图</w:t>
      </w:r>
    </w:p>
    <w:p>
      <w:pPr>
        <w:spacing w:after="156" w:afterLines="50" w:line="240" w:lineRule="auto"/>
        <w:ind w:firstLine="420"/>
        <w:jc w:val="center"/>
        <w:rPr>
          <w:sz w:val="21"/>
          <w:szCs w:val="21"/>
        </w:rPr>
      </w:pPr>
      <w:r>
        <w:rPr>
          <w:sz w:val="21"/>
          <w:szCs w:val="21"/>
        </w:rPr>
        <w:t xml:space="preserve">Figure </w:t>
      </w:r>
      <w:r>
        <w:rPr>
          <w:rFonts w:hint="eastAsia"/>
          <w:sz w:val="21"/>
          <w:szCs w:val="21"/>
        </w:rPr>
        <w:t>5</w:t>
      </w:r>
      <w:r>
        <w:rPr>
          <w:sz w:val="21"/>
          <w:szCs w:val="21"/>
        </w:rPr>
        <w:t>-</w:t>
      </w:r>
      <w:r>
        <w:rPr>
          <w:rFonts w:hint="eastAsia"/>
          <w:sz w:val="21"/>
          <w:szCs w:val="21"/>
        </w:rPr>
        <w:t>5 Heat Map of All Word Words Vector</w:t>
      </w:r>
    </w:p>
    <w:p>
      <w:pPr>
        <w:ind w:firstLine="480"/>
      </w:pPr>
      <w:r>
        <w:rPr>
          <w:rFonts w:hint="eastAsia"/>
        </w:rPr>
        <w:t>在图5-</w:t>
      </w:r>
      <w:r>
        <w:t>5</w:t>
      </w:r>
      <w:r>
        <w:rPr>
          <w:rFonts w:hint="eastAsia"/>
        </w:rPr>
        <w:t>中，纵轴表示不同的单词，这里由于数量太多（</w:t>
      </w:r>
      <w:r>
        <w:t>3005</w:t>
      </w:r>
      <w:r>
        <w:rPr>
          <w:rFonts w:hint="eastAsia"/>
        </w:rPr>
        <w:t>个）并没有将具体的单词标出，但这里并没有涉及到具体单词。横轴表示7种流量类型，颜色越红表示越多该流量类型的基站包含该单词。例如1</w:t>
      </w:r>
      <w:r>
        <w:t>00</w:t>
      </w:r>
      <w:r>
        <w:rPr>
          <w:rFonts w:hint="eastAsia"/>
        </w:rPr>
        <w:t>个“春节流量型”的基站都包含“郊区”一词，那么在“郊区”那一行的春节流量型就会越红，反之就越蓝。</w:t>
      </w:r>
    </w:p>
    <w:p>
      <w:pPr>
        <w:ind w:firstLine="480"/>
      </w:pPr>
      <w:r>
        <w:rPr>
          <w:rFonts w:hint="eastAsia"/>
        </w:rPr>
        <w:t>区域A、B所在的行各自包含了部分单词，从图中我们可以看出在同一区域内的单词其流量型分布类似，但是不同区域的单词分布却截然不同，例如区域A的单词集中在春节型、区域B的单词主要集中在主模板型，所以这些单词就有了将模式区分的能力。最后一个基站包含了多个单词，如何将这些这些单词的分布向量组合在一起，将在下面小节详细介绍。</w:t>
      </w:r>
    </w:p>
    <w:p>
      <w:pPr>
        <w:pStyle w:val="37"/>
      </w:pPr>
      <w:bookmarkStart w:id="220" w:name="_Toc6320109"/>
      <w:bookmarkStart w:id="221" w:name="_Toc7858032"/>
      <w:r>
        <w:rPr>
          <w:rFonts w:hint="eastAsia"/>
        </w:rPr>
        <w:t>5.</w:t>
      </w:r>
      <w:r>
        <w:t>3</w:t>
      </w:r>
      <w:r>
        <w:rPr>
          <w:rFonts w:hint="eastAsia"/>
        </w:rPr>
        <w:t>.5  获得基站的表征</w:t>
      </w:r>
      <w:bookmarkEnd w:id="220"/>
      <w:bookmarkEnd w:id="221"/>
    </w:p>
    <w:p>
      <w:pPr>
        <w:ind w:firstLine="480"/>
      </w:pPr>
      <w:r>
        <w:t>为了获得包含多个单词的基站宫格名称的词向量表征，我们对单个单词词向量进行组合。在前文我们获得了单词的向量表征，但是一个基站的宫格名称可能包含多个单词。例如某基站宫格名称为“某市某区高级中学”可以拆分成三个单词：“某市”、“某区”、“高级中学”，同时基站所处地理位置不同拆分单词个数也是不确定的。如何获得基站宫格名称的向量表征，我们采用了如下方法：</w:t>
      </w:r>
    </w:p>
    <w:p>
      <w:pPr>
        <w:ind w:firstLine="480"/>
      </w:pPr>
      <w:r>
        <w:rPr>
          <w:rFonts w:hint="eastAsia"/>
        </w:rPr>
        <w:t>(</w:t>
      </w:r>
      <w:r>
        <w:t>1) 向量相加（Sum）：</w:t>
      </w:r>
    </w:p>
    <w:p>
      <w:pPr>
        <w:ind w:firstLine="480"/>
        <w:jc w:val="right"/>
      </w:pPr>
      <w:r>
        <w:rPr>
          <w:position w:val="-16"/>
        </w:rPr>
        <w:object>
          <v:shape id="_x0000_i1031" o:spt="75" type="#_x0000_t75" style="height:21.6pt;width:285.8pt;" o:ole="t" filled="f" o:preferrelative="t" stroked="f" coordsize="21600,21600">
            <v:path/>
            <v:fill on="f" focussize="0,0"/>
            <v:stroke on="f" joinstyle="miter"/>
            <v:imagedata r:id="rId64" o:title=""/>
            <o:lock v:ext="edit" aspectratio="t"/>
            <w10:wrap type="none"/>
            <w10:anchorlock/>
          </v:shape>
          <o:OLEObject Type="Embed" ProgID="Equation.DSMT4" ShapeID="_x0000_i1031" DrawAspect="Content" ObjectID="_1468075731" r:id="rId63">
            <o:LockedField>false</o:LockedField>
          </o:OLEObject>
        </w:object>
      </w:r>
      <w:r>
        <w:t xml:space="preserve">        (5-2)</w:t>
      </w:r>
    </w:p>
    <w:p>
      <w:pPr>
        <w:ind w:firstLine="480"/>
      </w:pPr>
      <w:r>
        <w:rPr>
          <w:rFonts w:hint="eastAsia"/>
        </w:rPr>
        <w:t>(</w:t>
      </w:r>
      <w:r>
        <w:t>2) 向量平均（Average）：</w:t>
      </w:r>
    </w:p>
    <w:p>
      <w:pPr>
        <w:ind w:left="55" w:leftChars="23" w:firstLine="0" w:firstLineChars="0"/>
        <w:jc w:val="right"/>
      </w:pPr>
      <w:r>
        <w:rPr>
          <w:position w:val="-16"/>
        </w:rPr>
        <w:object>
          <v:shape id="_x0000_i1032" o:spt="75" type="#_x0000_t75" style="height:21.6pt;width:285.8pt;" o:ole="t" filled="f" o:preferrelative="t" stroked="f" coordsize="21600,21600">
            <v:path/>
            <v:fill on="f" focussize="0,0"/>
            <v:stroke on="f" joinstyle="miter"/>
            <v:imagedata r:id="rId66" o:title=""/>
            <o:lock v:ext="edit" aspectratio="t"/>
            <w10:wrap type="none"/>
            <w10:anchorlock/>
          </v:shape>
          <o:OLEObject Type="Embed" ProgID="Equation.DSMT4" ShapeID="_x0000_i1032" DrawAspect="Content" ObjectID="_1468075732" r:id="rId65">
            <o:LockedField>false</o:LockedField>
          </o:OLEObject>
        </w:object>
      </w:r>
      <w:r>
        <w:t xml:space="preserve">        (5-3)</w:t>
      </w:r>
    </w:p>
    <w:p>
      <w:pPr>
        <w:ind w:firstLine="480"/>
      </w:pPr>
      <w:r>
        <w:t>其中N表示基站宫格名称，再去除停用词之后所含有单词数目</w:t>
      </w:r>
    </w:p>
    <w:p>
      <w:pPr>
        <w:pStyle w:val="40"/>
        <w:numPr>
          <w:ilvl w:val="1"/>
          <w:numId w:val="6"/>
        </w:numPr>
      </w:pPr>
      <w:bookmarkStart w:id="222" w:name="_Toc6320110"/>
      <w:r>
        <w:rPr>
          <w:rFonts w:hint="eastAsia"/>
        </w:rPr>
        <w:t xml:space="preserve"> </w:t>
      </w:r>
      <w:bookmarkStart w:id="223" w:name="_Toc7858033"/>
      <w:r>
        <w:rPr>
          <w:rFonts w:hint="eastAsia"/>
        </w:rPr>
        <w:t>预测新建基站流量模式</w:t>
      </w:r>
      <w:bookmarkEnd w:id="222"/>
      <w:bookmarkEnd w:id="223"/>
    </w:p>
    <w:p>
      <w:pPr>
        <w:ind w:firstLine="480"/>
      </w:pPr>
      <w:r>
        <w:t>本小结我们利用经纬度和基站词向量表征去预测新建基站流量模式类型。我们使用XGBoost、</w:t>
      </w:r>
      <w:bookmarkStart w:id="224" w:name="OLE_LINK66"/>
      <w:bookmarkStart w:id="225" w:name="OLE_LINK67"/>
      <w:r>
        <w:t>Logistics Regression</w:t>
      </w:r>
      <w:bookmarkEnd w:id="224"/>
      <w:bookmarkEnd w:id="225"/>
      <w:r>
        <w:t>作为分类预测模型，同时在基站词向量表征上我们使用了两种不同处理方式。XGBoost是采用了Boosting集成学习的分类预测模型，它主要通过CART弱学习器不断迭代学习拟合残差而提高预测准确性，是一种非线性模型；LR（逻辑回归）则是典型的线性分类模型。</w:t>
      </w:r>
      <w:bookmarkStart w:id="226" w:name="_Toc6320111"/>
    </w:p>
    <w:p>
      <w:pPr>
        <w:pStyle w:val="37"/>
      </w:pPr>
      <w:bookmarkStart w:id="227" w:name="_Toc7858034"/>
      <w:r>
        <w:rPr>
          <w:rFonts w:hint="eastAsia"/>
        </w:rPr>
        <w:t>5</w:t>
      </w:r>
      <w:r>
        <w:t xml:space="preserve">.4.1  </w:t>
      </w:r>
      <w:r>
        <w:rPr>
          <w:rFonts w:hint="eastAsia"/>
        </w:rPr>
        <w:t>实验操作步骤</w:t>
      </w:r>
      <w:bookmarkEnd w:id="226"/>
      <w:bookmarkEnd w:id="227"/>
    </w:p>
    <w:p>
      <w:pPr>
        <w:ind w:firstLine="0" w:firstLineChars="0"/>
      </w:pPr>
      <w:r>
        <w:t>(1) 数据处理：我们将数据分成两个部分其中训练集（70%）和测试集（30%），由于在训练集中各类别存在明显的偏差，</w:t>
      </w:r>
      <w:r>
        <w:rPr>
          <w:rFonts w:hint="eastAsia"/>
        </w:rPr>
        <w:t>我们</w:t>
      </w:r>
      <w:r>
        <w:t>采用了重采样技术（</w:t>
      </w:r>
      <w:bookmarkStart w:id="228" w:name="OLE_LINK60"/>
      <w:bookmarkStart w:id="229" w:name="OLE_LINK61"/>
      <w:r>
        <w:t>SMOTE</w:t>
      </w:r>
      <w:bookmarkEnd w:id="228"/>
      <w:bookmarkEnd w:id="229"/>
      <w:r>
        <w:rPr>
          <w:vertAlign w:val="superscript"/>
        </w:rPr>
        <w:t>[</w:t>
      </w:r>
      <w:r>
        <w:rPr>
          <w:vertAlign w:val="superscript"/>
        </w:rPr>
        <w:fldChar w:fldCharType="begin"/>
      </w:r>
      <w:r>
        <w:rPr>
          <w:vertAlign w:val="superscript"/>
        </w:rPr>
        <w:instrText xml:space="preserve"> REF BIB_chawla2002smote \h \* MERGEFORMAT </w:instrText>
      </w:r>
      <w:r>
        <w:rPr>
          <w:vertAlign w:val="superscript"/>
        </w:rPr>
        <w:fldChar w:fldCharType="separate"/>
      </w:r>
      <w:r>
        <w:rPr>
          <w:vertAlign w:val="superscript"/>
        </w:rPr>
        <w:t>43</w:t>
      </w:r>
      <w:r>
        <w:rPr>
          <w:vertAlign w:val="superscript"/>
        </w:rPr>
        <w:fldChar w:fldCharType="end"/>
      </w:r>
      <w:r>
        <w:rPr>
          <w:vertAlign w:val="superscript"/>
        </w:rPr>
        <w:t>]</w:t>
      </w:r>
      <w:r>
        <w:t>）使得训练集中的各类别</w:t>
      </w:r>
      <w:r>
        <w:rPr>
          <w:rFonts w:hint="eastAsia"/>
        </w:rPr>
        <w:t>数目</w:t>
      </w:r>
      <w:r>
        <w:t>保持</w:t>
      </w:r>
      <w:r>
        <w:rPr>
          <w:rFonts w:hint="eastAsia"/>
        </w:rPr>
        <w:t>一致</w:t>
      </w:r>
      <w:r>
        <w:t>。为了保证对比实验的有效性，所有对比实验均基于同样的训练集和测试集。</w:t>
      </w:r>
    </w:p>
    <w:p>
      <w:pPr>
        <w:ind w:firstLine="0" w:firstLineChars="0"/>
      </w:pPr>
      <w:r>
        <w:t>(2) 模型构建：我们选用了XGBoost与LR两种类型不同的分类预测模型，LR模型模型参数为：默认参数，而XGBoost模型参数较多，如下表</w:t>
      </w:r>
      <w:r>
        <w:rPr>
          <w:rFonts w:hint="eastAsia"/>
        </w:rPr>
        <w:t>5-3</w:t>
      </w:r>
      <w:r>
        <w:t>所示。</w:t>
      </w:r>
    </w:p>
    <w:p>
      <w:pPr>
        <w:spacing w:before="156" w:beforeLines="50" w:line="240" w:lineRule="auto"/>
        <w:ind w:firstLine="357" w:firstLineChars="0"/>
        <w:jc w:val="center"/>
        <w:rPr>
          <w:sz w:val="21"/>
          <w:szCs w:val="21"/>
        </w:rPr>
      </w:pPr>
      <w:r>
        <w:rPr>
          <w:rFonts w:hint="eastAsia"/>
          <w:sz w:val="21"/>
          <w:szCs w:val="21"/>
        </w:rPr>
        <w:t>表5</w:t>
      </w:r>
      <w:r>
        <w:rPr>
          <w:sz w:val="21"/>
          <w:szCs w:val="21"/>
        </w:rPr>
        <w:t>-</w:t>
      </w:r>
      <w:r>
        <w:rPr>
          <w:rFonts w:hint="eastAsia"/>
          <w:sz w:val="21"/>
          <w:szCs w:val="21"/>
        </w:rPr>
        <w:t>3 XGBoost 参数设置</w:t>
      </w:r>
    </w:p>
    <w:p>
      <w:pPr>
        <w:spacing w:after="156" w:afterLines="50" w:line="240" w:lineRule="auto"/>
        <w:ind w:firstLine="0" w:firstLineChars="0"/>
        <w:jc w:val="center"/>
        <w:rPr>
          <w:sz w:val="21"/>
          <w:szCs w:val="21"/>
        </w:rPr>
      </w:pPr>
      <w:r>
        <w:rPr>
          <w:sz w:val="21"/>
          <w:szCs w:val="21"/>
        </w:rPr>
        <w:t xml:space="preserve">Table </w:t>
      </w:r>
      <w:r>
        <w:rPr>
          <w:rFonts w:hint="eastAsia"/>
          <w:sz w:val="21"/>
          <w:szCs w:val="21"/>
        </w:rPr>
        <w:t>5</w:t>
      </w:r>
      <w:r>
        <w:rPr>
          <w:sz w:val="21"/>
          <w:szCs w:val="21"/>
        </w:rPr>
        <w:t>-</w:t>
      </w:r>
      <w:r>
        <w:rPr>
          <w:rFonts w:hint="eastAsia"/>
          <w:sz w:val="21"/>
          <w:szCs w:val="21"/>
        </w:rPr>
        <w:t xml:space="preserve">3 XGBoost Parameter Setting </w:t>
      </w:r>
    </w:p>
    <w:tbl>
      <w:tblPr>
        <w:tblStyle w:val="24"/>
        <w:tblW w:w="9286" w:type="dxa"/>
        <w:tblInd w:w="0" w:type="dxa"/>
        <w:tblLayout w:type="fixed"/>
        <w:tblCellMar>
          <w:top w:w="0" w:type="dxa"/>
          <w:left w:w="108" w:type="dxa"/>
          <w:bottom w:w="0" w:type="dxa"/>
          <w:right w:w="108" w:type="dxa"/>
        </w:tblCellMar>
      </w:tblPr>
      <w:tblGrid>
        <w:gridCol w:w="3670"/>
        <w:gridCol w:w="5616"/>
      </w:tblGrid>
      <w:tr>
        <w:tblPrEx>
          <w:tblLayout w:type="fixed"/>
          <w:tblCellMar>
            <w:top w:w="0" w:type="dxa"/>
            <w:left w:w="108" w:type="dxa"/>
            <w:bottom w:w="0" w:type="dxa"/>
            <w:right w:w="108" w:type="dxa"/>
          </w:tblCellMar>
        </w:tblPrEx>
        <w:tc>
          <w:tcPr>
            <w:tcW w:w="3670" w:type="dxa"/>
            <w:tcBorders>
              <w:top w:val="single" w:color="auto" w:sz="12" w:space="0"/>
              <w:bottom w:val="single" w:color="auto" w:sz="4" w:space="0"/>
            </w:tcBorders>
            <w:shd w:val="clear" w:color="auto" w:fill="auto"/>
          </w:tcPr>
          <w:p>
            <w:pPr>
              <w:ind w:firstLine="480"/>
              <w:jc w:val="center"/>
              <w:rPr>
                <w:caps/>
                <w:kern w:val="0"/>
              </w:rPr>
            </w:pPr>
            <w:r>
              <w:rPr>
                <w:caps/>
                <w:kern w:val="0"/>
              </w:rPr>
              <w:t>参数</w:t>
            </w:r>
          </w:p>
        </w:tc>
        <w:tc>
          <w:tcPr>
            <w:tcW w:w="5616" w:type="dxa"/>
            <w:tcBorders>
              <w:top w:val="single" w:color="auto" w:sz="12" w:space="0"/>
              <w:bottom w:val="single" w:color="auto" w:sz="4" w:space="0"/>
            </w:tcBorders>
            <w:shd w:val="clear" w:color="auto" w:fill="auto"/>
          </w:tcPr>
          <w:p>
            <w:pPr>
              <w:ind w:firstLine="480"/>
              <w:jc w:val="center"/>
              <w:rPr>
                <w:caps/>
                <w:kern w:val="0"/>
              </w:rPr>
            </w:pPr>
            <w:r>
              <w:rPr>
                <w:caps/>
                <w:kern w:val="0"/>
              </w:rPr>
              <w:t>参数意义</w:t>
            </w:r>
          </w:p>
        </w:tc>
      </w:tr>
      <w:tr>
        <w:tblPrEx>
          <w:tblLayout w:type="fixed"/>
          <w:tblCellMar>
            <w:top w:w="0" w:type="dxa"/>
            <w:left w:w="108" w:type="dxa"/>
            <w:bottom w:w="0" w:type="dxa"/>
            <w:right w:w="108" w:type="dxa"/>
          </w:tblCellMar>
        </w:tblPrEx>
        <w:tc>
          <w:tcPr>
            <w:tcW w:w="3670" w:type="dxa"/>
            <w:tcBorders>
              <w:top w:val="single" w:color="auto" w:sz="4" w:space="0"/>
            </w:tcBorders>
            <w:shd w:val="clear" w:color="auto" w:fill="auto"/>
          </w:tcPr>
          <w:p>
            <w:pPr>
              <w:ind w:firstLine="480"/>
              <w:jc w:val="center"/>
              <w:rPr>
                <w:caps/>
              </w:rPr>
            </w:pPr>
            <w:r>
              <w:rPr>
                <w:caps/>
              </w:rPr>
              <w:t>learning_rate=0.05</w:t>
            </w:r>
          </w:p>
        </w:tc>
        <w:tc>
          <w:tcPr>
            <w:tcW w:w="5616" w:type="dxa"/>
            <w:tcBorders>
              <w:top w:val="single" w:color="auto" w:sz="4" w:space="0"/>
            </w:tcBorders>
            <w:shd w:val="clear" w:color="auto" w:fill="auto"/>
          </w:tcPr>
          <w:p>
            <w:pPr>
              <w:ind w:firstLine="480"/>
              <w:jc w:val="center"/>
            </w:pPr>
            <w:r>
              <w:t>学习率</w:t>
            </w:r>
          </w:p>
        </w:tc>
      </w:tr>
      <w:tr>
        <w:tblPrEx>
          <w:tblLayout w:type="fixed"/>
          <w:tblCellMar>
            <w:top w:w="0" w:type="dxa"/>
            <w:left w:w="108" w:type="dxa"/>
            <w:bottom w:w="0" w:type="dxa"/>
            <w:right w:w="108" w:type="dxa"/>
          </w:tblCellMar>
        </w:tblPrEx>
        <w:tc>
          <w:tcPr>
            <w:tcW w:w="3670" w:type="dxa"/>
            <w:shd w:val="clear" w:color="auto" w:fill="auto"/>
          </w:tcPr>
          <w:p>
            <w:pPr>
              <w:ind w:firstLine="480"/>
              <w:jc w:val="center"/>
              <w:rPr>
                <w:caps/>
              </w:rPr>
            </w:pPr>
            <w:r>
              <w:rPr>
                <w:caps/>
              </w:rPr>
              <w:t>n_estimators=80</w:t>
            </w:r>
          </w:p>
        </w:tc>
        <w:tc>
          <w:tcPr>
            <w:tcW w:w="5616" w:type="dxa"/>
            <w:shd w:val="clear" w:color="auto" w:fill="auto"/>
          </w:tcPr>
          <w:p>
            <w:pPr>
              <w:ind w:firstLine="480"/>
              <w:jc w:val="center"/>
            </w:pPr>
            <w:r>
              <w:t>树的个数：1000棵树</w:t>
            </w:r>
          </w:p>
        </w:tc>
      </w:tr>
      <w:tr>
        <w:tblPrEx>
          <w:tblLayout w:type="fixed"/>
          <w:tblCellMar>
            <w:top w:w="0" w:type="dxa"/>
            <w:left w:w="108" w:type="dxa"/>
            <w:bottom w:w="0" w:type="dxa"/>
            <w:right w:w="108" w:type="dxa"/>
          </w:tblCellMar>
        </w:tblPrEx>
        <w:tc>
          <w:tcPr>
            <w:tcW w:w="3670" w:type="dxa"/>
            <w:shd w:val="clear" w:color="auto" w:fill="auto"/>
          </w:tcPr>
          <w:p>
            <w:pPr>
              <w:ind w:firstLine="480"/>
              <w:jc w:val="center"/>
              <w:rPr>
                <w:caps/>
              </w:rPr>
            </w:pPr>
            <w:r>
              <w:rPr>
                <w:caps/>
              </w:rPr>
              <w:t>max_depth=3</w:t>
            </w:r>
          </w:p>
        </w:tc>
        <w:tc>
          <w:tcPr>
            <w:tcW w:w="5616" w:type="dxa"/>
            <w:shd w:val="clear" w:color="auto" w:fill="auto"/>
          </w:tcPr>
          <w:p>
            <w:pPr>
              <w:ind w:firstLine="480"/>
              <w:jc w:val="center"/>
            </w:pPr>
            <w:r>
              <w:t>树的深度</w:t>
            </w:r>
          </w:p>
        </w:tc>
      </w:tr>
      <w:tr>
        <w:tblPrEx>
          <w:tblLayout w:type="fixed"/>
          <w:tblCellMar>
            <w:top w:w="0" w:type="dxa"/>
            <w:left w:w="108" w:type="dxa"/>
            <w:bottom w:w="0" w:type="dxa"/>
            <w:right w:w="108" w:type="dxa"/>
          </w:tblCellMar>
        </w:tblPrEx>
        <w:tc>
          <w:tcPr>
            <w:tcW w:w="3670" w:type="dxa"/>
            <w:shd w:val="clear" w:color="auto" w:fill="auto"/>
          </w:tcPr>
          <w:p>
            <w:pPr>
              <w:ind w:firstLine="480"/>
              <w:jc w:val="center"/>
              <w:rPr>
                <w:caps/>
              </w:rPr>
            </w:pPr>
            <w:r>
              <w:rPr>
                <w:caps/>
              </w:rPr>
              <w:t>min_child_weight = 1</w:t>
            </w:r>
          </w:p>
        </w:tc>
        <w:tc>
          <w:tcPr>
            <w:tcW w:w="5616" w:type="dxa"/>
            <w:shd w:val="clear" w:color="auto" w:fill="auto"/>
          </w:tcPr>
          <w:p>
            <w:pPr>
              <w:ind w:firstLine="480"/>
              <w:jc w:val="center"/>
            </w:pPr>
            <w:r>
              <w:t>叶子节点最小权重</w:t>
            </w:r>
          </w:p>
        </w:tc>
      </w:tr>
      <w:tr>
        <w:tblPrEx>
          <w:tblLayout w:type="fixed"/>
          <w:tblCellMar>
            <w:top w:w="0" w:type="dxa"/>
            <w:left w:w="108" w:type="dxa"/>
            <w:bottom w:w="0" w:type="dxa"/>
            <w:right w:w="108" w:type="dxa"/>
          </w:tblCellMar>
        </w:tblPrEx>
        <w:tc>
          <w:tcPr>
            <w:tcW w:w="3670" w:type="dxa"/>
            <w:shd w:val="clear" w:color="auto" w:fill="auto"/>
          </w:tcPr>
          <w:p>
            <w:pPr>
              <w:ind w:firstLine="480"/>
              <w:jc w:val="center"/>
              <w:rPr>
                <w:caps/>
              </w:rPr>
            </w:pPr>
            <w:r>
              <w:rPr>
                <w:caps/>
              </w:rPr>
              <w:t>gamma=0</w:t>
            </w:r>
          </w:p>
        </w:tc>
        <w:tc>
          <w:tcPr>
            <w:tcW w:w="5616" w:type="dxa"/>
            <w:shd w:val="clear" w:color="auto" w:fill="auto"/>
          </w:tcPr>
          <w:p>
            <w:pPr>
              <w:ind w:firstLine="480"/>
              <w:jc w:val="center"/>
            </w:pPr>
            <w:r>
              <w:t>惩罚项叶子结点个数前的参数</w:t>
            </w:r>
          </w:p>
        </w:tc>
      </w:tr>
      <w:tr>
        <w:tblPrEx>
          <w:tblLayout w:type="fixed"/>
          <w:tblCellMar>
            <w:top w:w="0" w:type="dxa"/>
            <w:left w:w="108" w:type="dxa"/>
            <w:bottom w:w="0" w:type="dxa"/>
            <w:right w:w="108" w:type="dxa"/>
          </w:tblCellMar>
        </w:tblPrEx>
        <w:tc>
          <w:tcPr>
            <w:tcW w:w="3670" w:type="dxa"/>
            <w:shd w:val="clear" w:color="auto" w:fill="auto"/>
          </w:tcPr>
          <w:p>
            <w:pPr>
              <w:ind w:firstLine="480"/>
              <w:jc w:val="center"/>
              <w:rPr>
                <w:caps/>
              </w:rPr>
            </w:pPr>
            <w:r>
              <w:rPr>
                <w:caps/>
              </w:rPr>
              <w:t>subsample=0.8</w:t>
            </w:r>
          </w:p>
        </w:tc>
        <w:tc>
          <w:tcPr>
            <w:tcW w:w="5616" w:type="dxa"/>
            <w:shd w:val="clear" w:color="auto" w:fill="auto"/>
          </w:tcPr>
          <w:p>
            <w:pPr>
              <w:ind w:firstLine="480"/>
              <w:jc w:val="center"/>
            </w:pPr>
            <w:r>
              <w:t>随机选择80%样本建立决策树</w:t>
            </w:r>
          </w:p>
        </w:tc>
      </w:tr>
      <w:tr>
        <w:tblPrEx>
          <w:tblLayout w:type="fixed"/>
          <w:tblCellMar>
            <w:top w:w="0" w:type="dxa"/>
            <w:left w:w="108" w:type="dxa"/>
            <w:bottom w:w="0" w:type="dxa"/>
            <w:right w:w="108" w:type="dxa"/>
          </w:tblCellMar>
        </w:tblPrEx>
        <w:tc>
          <w:tcPr>
            <w:tcW w:w="3670" w:type="dxa"/>
            <w:shd w:val="clear" w:color="auto" w:fill="auto"/>
          </w:tcPr>
          <w:p>
            <w:pPr>
              <w:ind w:firstLine="480"/>
              <w:jc w:val="center"/>
              <w:rPr>
                <w:caps/>
              </w:rPr>
            </w:pPr>
            <w:r>
              <w:rPr>
                <w:caps/>
              </w:rPr>
              <w:t>colsample_btree=0.8</w:t>
            </w:r>
          </w:p>
        </w:tc>
        <w:tc>
          <w:tcPr>
            <w:tcW w:w="5616" w:type="dxa"/>
            <w:shd w:val="clear" w:color="auto" w:fill="auto"/>
          </w:tcPr>
          <w:p>
            <w:pPr>
              <w:ind w:firstLine="480"/>
              <w:jc w:val="center"/>
            </w:pPr>
            <w:r>
              <w:t>随机选择80%特征建立决策树</w:t>
            </w:r>
          </w:p>
        </w:tc>
      </w:tr>
      <w:tr>
        <w:tblPrEx>
          <w:tblLayout w:type="fixed"/>
          <w:tblCellMar>
            <w:top w:w="0" w:type="dxa"/>
            <w:left w:w="108" w:type="dxa"/>
            <w:bottom w:w="0" w:type="dxa"/>
            <w:right w:w="108" w:type="dxa"/>
          </w:tblCellMar>
        </w:tblPrEx>
        <w:tc>
          <w:tcPr>
            <w:tcW w:w="3670" w:type="dxa"/>
            <w:tcBorders>
              <w:bottom w:val="single" w:color="auto" w:sz="12" w:space="0"/>
            </w:tcBorders>
            <w:shd w:val="clear" w:color="auto" w:fill="auto"/>
          </w:tcPr>
          <w:p>
            <w:pPr>
              <w:ind w:firstLine="480"/>
              <w:jc w:val="center"/>
              <w:rPr>
                <w:caps/>
              </w:rPr>
            </w:pPr>
            <w:r>
              <w:rPr>
                <w:caps/>
              </w:rPr>
              <w:t>scale_pos_weight=1</w:t>
            </w:r>
          </w:p>
        </w:tc>
        <w:tc>
          <w:tcPr>
            <w:tcW w:w="5616" w:type="dxa"/>
            <w:tcBorders>
              <w:bottom w:val="single" w:color="auto" w:sz="12" w:space="0"/>
            </w:tcBorders>
            <w:shd w:val="clear" w:color="auto" w:fill="auto"/>
          </w:tcPr>
          <w:p>
            <w:pPr>
              <w:ind w:firstLine="480"/>
              <w:jc w:val="center"/>
            </w:pPr>
            <w:r>
              <w:t>解决样本个数不平衡的问题</w:t>
            </w:r>
          </w:p>
        </w:tc>
      </w:tr>
    </w:tbl>
    <w:p>
      <w:pPr>
        <w:pStyle w:val="37"/>
      </w:pPr>
      <w:bookmarkStart w:id="230" w:name="_Toc7858035"/>
      <w:bookmarkStart w:id="231" w:name="_Toc6320112"/>
      <w:r>
        <w:rPr>
          <w:rFonts w:hint="eastAsia"/>
        </w:rPr>
        <w:t>5.</w:t>
      </w:r>
      <w:r>
        <w:t>4</w:t>
      </w:r>
      <w:r>
        <w:rPr>
          <w:rFonts w:hint="eastAsia"/>
        </w:rPr>
        <w:t>.2  实验结果分析</w:t>
      </w:r>
      <w:bookmarkEnd w:id="230"/>
      <w:bookmarkEnd w:id="231"/>
    </w:p>
    <w:p>
      <w:pPr>
        <w:ind w:firstLine="480"/>
      </w:pPr>
      <w:r>
        <w:t>在分类模型性能评估上我们使用了F1-score作为标准，一些多分类问题的机器学习竞赛，也常常将F1-score作为最终测评的方法。它是精确率和召回率的调和平均数，最大为1，最小为0。我们流量模式预测问题最终转化成七分类问题（包括了六种前文模式挖掘出六种典型流量模式，以及特征不明显的流量模式“其他”类），</w:t>
      </w:r>
      <w:r>
        <w:rPr>
          <w:rFonts w:hint="eastAsia"/>
        </w:rPr>
        <w:t>其</w:t>
      </w:r>
      <w:r>
        <w:t>性能统计</w:t>
      </w:r>
      <w:r>
        <w:rPr>
          <w:rFonts w:hint="eastAsia"/>
        </w:rPr>
        <w:t>如下表5-4所示。</w:t>
      </w:r>
    </w:p>
    <w:p>
      <w:pPr>
        <w:spacing w:before="156" w:beforeLines="50" w:line="240" w:lineRule="auto"/>
        <w:ind w:firstLine="357" w:firstLineChars="0"/>
        <w:jc w:val="center"/>
        <w:rPr>
          <w:sz w:val="21"/>
          <w:szCs w:val="21"/>
        </w:rPr>
      </w:pPr>
      <w:r>
        <w:rPr>
          <w:rFonts w:hint="eastAsia"/>
          <w:sz w:val="21"/>
          <w:szCs w:val="21"/>
        </w:rPr>
        <w:t>表5</w:t>
      </w:r>
      <w:r>
        <w:rPr>
          <w:sz w:val="21"/>
          <w:szCs w:val="21"/>
        </w:rPr>
        <w:t>-</w:t>
      </w:r>
      <w:r>
        <w:rPr>
          <w:rFonts w:hint="eastAsia"/>
          <w:sz w:val="21"/>
          <w:szCs w:val="21"/>
        </w:rPr>
        <w:t>4 实验结果</w:t>
      </w:r>
    </w:p>
    <w:p>
      <w:pPr>
        <w:spacing w:after="156" w:afterLines="50" w:line="240" w:lineRule="auto"/>
        <w:ind w:firstLine="420"/>
        <w:jc w:val="center"/>
        <w:rPr>
          <w:sz w:val="21"/>
          <w:szCs w:val="21"/>
        </w:rPr>
      </w:pPr>
      <w:r>
        <w:rPr>
          <w:sz w:val="21"/>
          <w:szCs w:val="21"/>
        </w:rPr>
        <w:t xml:space="preserve">Table </w:t>
      </w:r>
      <w:r>
        <w:rPr>
          <w:rFonts w:hint="eastAsia"/>
          <w:sz w:val="21"/>
          <w:szCs w:val="21"/>
        </w:rPr>
        <w:t>5</w:t>
      </w:r>
      <w:r>
        <w:rPr>
          <w:sz w:val="21"/>
          <w:szCs w:val="21"/>
        </w:rPr>
        <w:t>-</w:t>
      </w:r>
      <w:r>
        <w:rPr>
          <w:rFonts w:hint="eastAsia"/>
          <w:sz w:val="21"/>
          <w:szCs w:val="21"/>
        </w:rPr>
        <w:t>4 Experimental Result</w:t>
      </w:r>
    </w:p>
    <w:tbl>
      <w:tblPr>
        <w:tblStyle w:val="24"/>
        <w:tblW w:w="9286" w:type="dxa"/>
        <w:tblInd w:w="0" w:type="dxa"/>
        <w:tblLayout w:type="fixed"/>
        <w:tblCellMar>
          <w:top w:w="0" w:type="dxa"/>
          <w:left w:w="108" w:type="dxa"/>
          <w:bottom w:w="0" w:type="dxa"/>
          <w:right w:w="108" w:type="dxa"/>
        </w:tblCellMar>
      </w:tblPr>
      <w:tblGrid>
        <w:gridCol w:w="4220"/>
        <w:gridCol w:w="1972"/>
        <w:gridCol w:w="3094"/>
      </w:tblGrid>
      <w:tr>
        <w:tblPrEx>
          <w:tblLayout w:type="fixed"/>
          <w:tblCellMar>
            <w:top w:w="0" w:type="dxa"/>
            <w:left w:w="108" w:type="dxa"/>
            <w:bottom w:w="0" w:type="dxa"/>
            <w:right w:w="108" w:type="dxa"/>
          </w:tblCellMar>
        </w:tblPrEx>
        <w:tc>
          <w:tcPr>
            <w:tcW w:w="4220" w:type="dxa"/>
            <w:tcBorders>
              <w:top w:val="single" w:color="auto" w:sz="12" w:space="0"/>
              <w:bottom w:val="single" w:color="auto" w:sz="4" w:space="0"/>
            </w:tcBorders>
            <w:shd w:val="clear" w:color="auto" w:fill="auto"/>
          </w:tcPr>
          <w:p>
            <w:pPr>
              <w:ind w:firstLine="0" w:firstLineChars="0"/>
              <w:jc w:val="center"/>
              <w:rPr>
                <w:caps/>
                <w:kern w:val="0"/>
              </w:rPr>
            </w:pPr>
            <w:r>
              <w:rPr>
                <w:caps/>
                <w:kern w:val="0"/>
              </w:rPr>
              <w:t>特征</w:t>
            </w:r>
          </w:p>
        </w:tc>
        <w:tc>
          <w:tcPr>
            <w:tcW w:w="1972" w:type="dxa"/>
            <w:tcBorders>
              <w:top w:val="single" w:color="auto" w:sz="12" w:space="0"/>
              <w:bottom w:val="single" w:color="auto" w:sz="4" w:space="0"/>
            </w:tcBorders>
            <w:shd w:val="clear" w:color="auto" w:fill="auto"/>
          </w:tcPr>
          <w:p>
            <w:pPr>
              <w:ind w:firstLine="0" w:firstLineChars="0"/>
              <w:jc w:val="center"/>
              <w:rPr>
                <w:caps/>
                <w:kern w:val="0"/>
              </w:rPr>
            </w:pPr>
            <w:r>
              <w:rPr>
                <w:caps/>
                <w:kern w:val="0"/>
              </w:rPr>
              <w:t>XGBoost</w:t>
            </w:r>
          </w:p>
        </w:tc>
        <w:tc>
          <w:tcPr>
            <w:tcW w:w="3094" w:type="dxa"/>
            <w:tcBorders>
              <w:top w:val="single" w:color="auto" w:sz="12" w:space="0"/>
              <w:bottom w:val="single" w:color="auto" w:sz="4" w:space="0"/>
            </w:tcBorders>
            <w:shd w:val="clear" w:color="auto" w:fill="auto"/>
          </w:tcPr>
          <w:p>
            <w:pPr>
              <w:ind w:firstLine="0" w:firstLineChars="0"/>
              <w:jc w:val="center"/>
              <w:rPr>
                <w:caps/>
                <w:kern w:val="0"/>
              </w:rPr>
            </w:pPr>
            <w:r>
              <w:rPr>
                <w:caps/>
              </w:rPr>
              <w:t>LR</w:t>
            </w:r>
          </w:p>
        </w:tc>
      </w:tr>
      <w:tr>
        <w:tblPrEx>
          <w:tblLayout w:type="fixed"/>
          <w:tblCellMar>
            <w:top w:w="0" w:type="dxa"/>
            <w:left w:w="108" w:type="dxa"/>
            <w:bottom w:w="0" w:type="dxa"/>
            <w:right w:w="108" w:type="dxa"/>
          </w:tblCellMar>
        </w:tblPrEx>
        <w:tc>
          <w:tcPr>
            <w:tcW w:w="4220" w:type="dxa"/>
            <w:tcBorders>
              <w:top w:val="single" w:color="auto" w:sz="4" w:space="0"/>
            </w:tcBorders>
            <w:shd w:val="clear" w:color="auto" w:fill="auto"/>
          </w:tcPr>
          <w:p>
            <w:pPr>
              <w:ind w:firstLine="0" w:firstLineChars="0"/>
              <w:jc w:val="center"/>
              <w:rPr>
                <w:kern w:val="0"/>
              </w:rPr>
            </w:pPr>
            <w:r>
              <w:rPr>
                <w:kern w:val="0"/>
              </w:rPr>
              <w:t>经纬度</w:t>
            </w:r>
          </w:p>
        </w:tc>
        <w:tc>
          <w:tcPr>
            <w:tcW w:w="1972" w:type="dxa"/>
            <w:tcBorders>
              <w:top w:val="single" w:color="auto" w:sz="4" w:space="0"/>
            </w:tcBorders>
            <w:shd w:val="clear" w:color="auto" w:fill="auto"/>
          </w:tcPr>
          <w:p>
            <w:pPr>
              <w:ind w:firstLine="0" w:firstLineChars="0"/>
              <w:jc w:val="center"/>
              <w:rPr>
                <w:kern w:val="0"/>
              </w:rPr>
            </w:pPr>
            <w:r>
              <w:t>0.30</w:t>
            </w:r>
          </w:p>
        </w:tc>
        <w:tc>
          <w:tcPr>
            <w:tcW w:w="3094" w:type="dxa"/>
            <w:tcBorders>
              <w:top w:val="single" w:color="auto" w:sz="4" w:space="0"/>
            </w:tcBorders>
            <w:shd w:val="clear" w:color="auto" w:fill="auto"/>
          </w:tcPr>
          <w:p>
            <w:pPr>
              <w:ind w:firstLine="0" w:firstLineChars="0"/>
              <w:jc w:val="center"/>
              <w:rPr>
                <w:kern w:val="0"/>
              </w:rPr>
            </w:pPr>
            <w:r>
              <w:t>0.15</w:t>
            </w:r>
          </w:p>
        </w:tc>
      </w:tr>
      <w:tr>
        <w:tblPrEx>
          <w:tblLayout w:type="fixed"/>
          <w:tblCellMar>
            <w:top w:w="0" w:type="dxa"/>
            <w:left w:w="108" w:type="dxa"/>
            <w:bottom w:w="0" w:type="dxa"/>
            <w:right w:w="108" w:type="dxa"/>
          </w:tblCellMar>
        </w:tblPrEx>
        <w:tc>
          <w:tcPr>
            <w:tcW w:w="4220" w:type="dxa"/>
            <w:shd w:val="clear" w:color="auto" w:fill="auto"/>
          </w:tcPr>
          <w:p>
            <w:pPr>
              <w:ind w:firstLine="0" w:firstLineChars="0"/>
              <w:jc w:val="center"/>
              <w:rPr>
                <w:caps/>
                <w:kern w:val="0"/>
                <w:lang w:bidi="ar"/>
              </w:rPr>
            </w:pPr>
            <w:r>
              <w:rPr>
                <w:kern w:val="0"/>
              </w:rPr>
              <w:t>基站</w:t>
            </w:r>
            <w:r>
              <w:rPr>
                <w:rFonts w:hint="eastAsia"/>
                <w:kern w:val="0"/>
              </w:rPr>
              <w:t>词</w:t>
            </w:r>
            <w:r>
              <w:rPr>
                <w:kern w:val="0"/>
              </w:rPr>
              <w:t>向量表征（Sum）</w:t>
            </w:r>
          </w:p>
        </w:tc>
        <w:tc>
          <w:tcPr>
            <w:tcW w:w="1972" w:type="dxa"/>
            <w:shd w:val="clear" w:color="auto" w:fill="auto"/>
          </w:tcPr>
          <w:p>
            <w:pPr>
              <w:ind w:firstLine="0" w:firstLineChars="0"/>
              <w:jc w:val="center"/>
              <w:rPr>
                <w:kern w:val="0"/>
                <w:lang w:bidi="ar"/>
              </w:rPr>
            </w:pPr>
            <w:r>
              <w:t>0.32</w:t>
            </w:r>
          </w:p>
        </w:tc>
        <w:tc>
          <w:tcPr>
            <w:tcW w:w="3094" w:type="dxa"/>
            <w:shd w:val="clear" w:color="auto" w:fill="auto"/>
          </w:tcPr>
          <w:p>
            <w:pPr>
              <w:ind w:firstLine="0" w:firstLineChars="0"/>
              <w:jc w:val="center"/>
              <w:rPr>
                <w:kern w:val="0"/>
                <w:lang w:bidi="ar"/>
              </w:rPr>
            </w:pPr>
            <w:r>
              <w:t>0.32</w:t>
            </w:r>
          </w:p>
        </w:tc>
      </w:tr>
      <w:tr>
        <w:tblPrEx>
          <w:tblLayout w:type="fixed"/>
          <w:tblCellMar>
            <w:top w:w="0" w:type="dxa"/>
            <w:left w:w="108" w:type="dxa"/>
            <w:bottom w:w="0" w:type="dxa"/>
            <w:right w:w="108" w:type="dxa"/>
          </w:tblCellMar>
        </w:tblPrEx>
        <w:tc>
          <w:tcPr>
            <w:tcW w:w="4220" w:type="dxa"/>
            <w:shd w:val="clear" w:color="auto" w:fill="auto"/>
          </w:tcPr>
          <w:p>
            <w:pPr>
              <w:ind w:firstLine="0" w:firstLineChars="0"/>
              <w:jc w:val="center"/>
              <w:rPr>
                <w:caps/>
                <w:kern w:val="0"/>
                <w:lang w:bidi="ar"/>
              </w:rPr>
            </w:pPr>
            <w:r>
              <w:rPr>
                <w:kern w:val="0"/>
              </w:rPr>
              <w:t>基站</w:t>
            </w:r>
            <w:r>
              <w:rPr>
                <w:rFonts w:hint="eastAsia"/>
                <w:kern w:val="0"/>
              </w:rPr>
              <w:t>词</w:t>
            </w:r>
            <w:r>
              <w:rPr>
                <w:kern w:val="0"/>
              </w:rPr>
              <w:t>向量表征（</w:t>
            </w:r>
            <w:r>
              <w:rPr>
                <w:caps/>
                <w:lang w:bidi="ar"/>
              </w:rPr>
              <w:t>Ave</w:t>
            </w:r>
            <w:r>
              <w:rPr>
                <w:kern w:val="0"/>
              </w:rPr>
              <w:t>）</w:t>
            </w:r>
          </w:p>
        </w:tc>
        <w:tc>
          <w:tcPr>
            <w:tcW w:w="1972" w:type="dxa"/>
            <w:shd w:val="clear" w:color="auto" w:fill="auto"/>
          </w:tcPr>
          <w:p>
            <w:pPr>
              <w:ind w:firstLine="0" w:firstLineChars="0"/>
              <w:jc w:val="center"/>
              <w:rPr>
                <w:kern w:val="0"/>
                <w:lang w:bidi="ar"/>
              </w:rPr>
            </w:pPr>
            <w:r>
              <w:t>0.33</w:t>
            </w:r>
          </w:p>
        </w:tc>
        <w:tc>
          <w:tcPr>
            <w:tcW w:w="3094" w:type="dxa"/>
            <w:shd w:val="clear" w:color="auto" w:fill="auto"/>
          </w:tcPr>
          <w:p>
            <w:pPr>
              <w:ind w:firstLine="0" w:firstLineChars="0"/>
              <w:jc w:val="center"/>
              <w:rPr>
                <w:kern w:val="0"/>
                <w:lang w:bidi="ar"/>
              </w:rPr>
            </w:pPr>
            <w:r>
              <w:t>0.34</w:t>
            </w:r>
          </w:p>
        </w:tc>
      </w:tr>
      <w:tr>
        <w:tblPrEx>
          <w:tblLayout w:type="fixed"/>
          <w:tblCellMar>
            <w:top w:w="0" w:type="dxa"/>
            <w:left w:w="108" w:type="dxa"/>
            <w:bottom w:w="0" w:type="dxa"/>
            <w:right w:w="108" w:type="dxa"/>
          </w:tblCellMar>
        </w:tblPrEx>
        <w:tc>
          <w:tcPr>
            <w:tcW w:w="4220" w:type="dxa"/>
            <w:shd w:val="clear" w:color="auto" w:fill="auto"/>
          </w:tcPr>
          <w:p>
            <w:pPr>
              <w:ind w:firstLine="0" w:firstLineChars="0"/>
              <w:jc w:val="center"/>
              <w:rPr>
                <w:caps/>
                <w:kern w:val="0"/>
                <w:lang w:bidi="ar"/>
              </w:rPr>
            </w:pPr>
            <w:r>
              <w:rPr>
                <w:kern w:val="0"/>
              </w:rPr>
              <w:t>经纬度+基站</w:t>
            </w:r>
            <w:r>
              <w:rPr>
                <w:rFonts w:hint="eastAsia"/>
                <w:kern w:val="0"/>
              </w:rPr>
              <w:t>词</w:t>
            </w:r>
            <w:r>
              <w:rPr>
                <w:kern w:val="0"/>
              </w:rPr>
              <w:t>向量表征（Sum）</w:t>
            </w:r>
          </w:p>
        </w:tc>
        <w:tc>
          <w:tcPr>
            <w:tcW w:w="1972" w:type="dxa"/>
            <w:shd w:val="clear" w:color="auto" w:fill="auto"/>
          </w:tcPr>
          <w:p>
            <w:pPr>
              <w:ind w:firstLine="0" w:firstLineChars="0"/>
              <w:jc w:val="center"/>
              <w:rPr>
                <w:kern w:val="0"/>
                <w:lang w:bidi="ar"/>
              </w:rPr>
            </w:pPr>
            <w:r>
              <w:t>0.34</w:t>
            </w:r>
          </w:p>
        </w:tc>
        <w:tc>
          <w:tcPr>
            <w:tcW w:w="3094" w:type="dxa"/>
            <w:shd w:val="clear" w:color="auto" w:fill="auto"/>
          </w:tcPr>
          <w:p>
            <w:pPr>
              <w:ind w:firstLine="0" w:firstLineChars="0"/>
              <w:jc w:val="center"/>
              <w:rPr>
                <w:kern w:val="0"/>
                <w:lang w:bidi="ar"/>
              </w:rPr>
            </w:pPr>
            <w:r>
              <w:t>0.32</w:t>
            </w:r>
          </w:p>
        </w:tc>
      </w:tr>
      <w:tr>
        <w:tblPrEx>
          <w:tblLayout w:type="fixed"/>
          <w:tblCellMar>
            <w:top w:w="0" w:type="dxa"/>
            <w:left w:w="108" w:type="dxa"/>
            <w:bottom w:w="0" w:type="dxa"/>
            <w:right w:w="108" w:type="dxa"/>
          </w:tblCellMar>
        </w:tblPrEx>
        <w:tc>
          <w:tcPr>
            <w:tcW w:w="4220" w:type="dxa"/>
            <w:tcBorders>
              <w:bottom w:val="single" w:color="auto" w:sz="12" w:space="0"/>
            </w:tcBorders>
            <w:shd w:val="clear" w:color="auto" w:fill="auto"/>
          </w:tcPr>
          <w:p>
            <w:pPr>
              <w:ind w:firstLine="0" w:firstLineChars="0"/>
              <w:jc w:val="center"/>
              <w:rPr>
                <w:caps/>
                <w:kern w:val="0"/>
                <w:lang w:bidi="ar"/>
              </w:rPr>
            </w:pPr>
            <w:r>
              <w:rPr>
                <w:kern w:val="0"/>
              </w:rPr>
              <w:t>经纬度+基站</w:t>
            </w:r>
            <w:r>
              <w:rPr>
                <w:rFonts w:hint="eastAsia"/>
                <w:kern w:val="0"/>
              </w:rPr>
              <w:t>词</w:t>
            </w:r>
            <w:r>
              <w:rPr>
                <w:kern w:val="0"/>
              </w:rPr>
              <w:t>向量表征（</w:t>
            </w:r>
            <w:r>
              <w:rPr>
                <w:caps/>
                <w:lang w:bidi="ar"/>
              </w:rPr>
              <w:t>Ave</w:t>
            </w:r>
            <w:r>
              <w:rPr>
                <w:kern w:val="0"/>
              </w:rPr>
              <w:t>）</w:t>
            </w:r>
          </w:p>
        </w:tc>
        <w:tc>
          <w:tcPr>
            <w:tcW w:w="1972" w:type="dxa"/>
            <w:tcBorders>
              <w:bottom w:val="single" w:color="auto" w:sz="12" w:space="0"/>
            </w:tcBorders>
            <w:shd w:val="clear" w:color="auto" w:fill="auto"/>
          </w:tcPr>
          <w:p>
            <w:pPr>
              <w:ind w:firstLine="0" w:firstLineChars="0"/>
              <w:jc w:val="center"/>
              <w:rPr>
                <w:b/>
                <w:kern w:val="0"/>
                <w:lang w:bidi="ar"/>
              </w:rPr>
            </w:pPr>
            <w:r>
              <w:rPr>
                <w:b/>
              </w:rPr>
              <w:t>0.35</w:t>
            </w:r>
          </w:p>
        </w:tc>
        <w:tc>
          <w:tcPr>
            <w:tcW w:w="3094" w:type="dxa"/>
            <w:tcBorders>
              <w:bottom w:val="single" w:color="auto" w:sz="12" w:space="0"/>
            </w:tcBorders>
            <w:shd w:val="clear" w:color="auto" w:fill="auto"/>
          </w:tcPr>
          <w:p>
            <w:pPr>
              <w:ind w:firstLine="0" w:firstLineChars="0"/>
              <w:jc w:val="center"/>
              <w:rPr>
                <w:b/>
                <w:kern w:val="0"/>
                <w:lang w:bidi="ar"/>
              </w:rPr>
            </w:pPr>
            <w:r>
              <w:rPr>
                <w:b/>
              </w:rPr>
              <w:t>0.35</w:t>
            </w:r>
          </w:p>
        </w:tc>
      </w:tr>
    </w:tbl>
    <w:p>
      <w:pPr>
        <w:ind w:firstLine="480"/>
        <w:jc w:val="left"/>
      </w:pPr>
      <w:r>
        <w:t>如</w:t>
      </w:r>
      <w:r>
        <w:rPr>
          <w:rFonts w:hint="eastAsia"/>
        </w:rPr>
        <w:t>表5-4</w:t>
      </w:r>
      <w:r>
        <w:t>所示</w:t>
      </w:r>
      <w:r>
        <w:rPr>
          <w:rFonts w:hint="eastAsia"/>
        </w:rPr>
        <w:t>，我们首先对单个特征的模式分类能力进行了实验，之后又尝试了特征之间的组合，从表中我们能够获得如下信息：</w:t>
      </w:r>
    </w:p>
    <w:p>
      <w:pPr>
        <w:ind w:firstLine="480"/>
        <w:jc w:val="left"/>
      </w:pPr>
      <w:r>
        <w:rPr>
          <w:rFonts w:hint="eastAsia"/>
        </w:rPr>
        <w:t>(</w:t>
      </w:r>
      <w:r>
        <w:t xml:space="preserve">1) </w:t>
      </w:r>
      <w:r>
        <w:rPr>
          <w:rFonts w:hint="eastAsia"/>
        </w:rPr>
        <w:t>我们提出的基站词向量表征在分类性能上是优于经纬度特征的（在两种模型下均高于经纬度特征），说明这种将语义信息转化成词向量的表征方法是有效的。</w:t>
      </w:r>
    </w:p>
    <w:p>
      <w:pPr>
        <w:ind w:firstLine="480"/>
      </w:pPr>
      <w:r>
        <w:rPr>
          <w:rFonts w:hint="eastAsia"/>
        </w:rPr>
        <w:t>(</w:t>
      </w:r>
      <w:r>
        <w:t xml:space="preserve">2) </w:t>
      </w:r>
      <w:r>
        <w:rPr>
          <w:rFonts w:hint="eastAsia"/>
        </w:rPr>
        <w:t>基站词向量特征对LR模型的性能提升明显。在仅仅加入</w:t>
      </w:r>
      <w:r>
        <w:rPr>
          <w:kern w:val="0"/>
        </w:rPr>
        <w:t>基站词向量表征（</w:t>
      </w:r>
      <w:r>
        <w:rPr>
          <w:caps/>
          <w:lang w:bidi="ar"/>
        </w:rPr>
        <w:t>Ave</w:t>
      </w:r>
      <w:r>
        <w:rPr>
          <w:kern w:val="0"/>
        </w:rPr>
        <w:t>）</w:t>
      </w:r>
      <w:r>
        <w:rPr>
          <w:rFonts w:hint="eastAsia"/>
          <w:kern w:val="0"/>
        </w:rPr>
        <w:t>特征时LR模型的F</w:t>
      </w:r>
      <w:r>
        <w:rPr>
          <w:kern w:val="0"/>
        </w:rPr>
        <w:t>1</w:t>
      </w:r>
      <w:r>
        <w:rPr>
          <w:rFonts w:hint="eastAsia"/>
          <w:kern w:val="0"/>
        </w:rPr>
        <w:t>-Score为0</w:t>
      </w:r>
      <w:r>
        <w:rPr>
          <w:kern w:val="0"/>
        </w:rPr>
        <w:t>.34</w:t>
      </w:r>
      <w:r>
        <w:rPr>
          <w:rFonts w:hint="eastAsia"/>
          <w:kern w:val="0"/>
        </w:rPr>
        <w:t>超过XGBoost模型的0</w:t>
      </w:r>
      <w:r>
        <w:rPr>
          <w:kern w:val="0"/>
        </w:rPr>
        <w:t>.33</w:t>
      </w:r>
      <w:r>
        <w:rPr>
          <w:rFonts w:hint="eastAsia"/>
          <w:kern w:val="0"/>
        </w:rPr>
        <w:t>。</w:t>
      </w:r>
      <w:r>
        <w:t>这种提升其意义在于XGBoost虽然取得较好性能但是其计算量却远大于LR，同时计算速度也远慢于LR。加入基站词向量表征的LR模型达到相同的效果，在计算量和计算速度上占有优势。</w:t>
      </w:r>
    </w:p>
    <w:p>
      <w:pPr>
        <w:ind w:firstLine="480"/>
      </w:pPr>
      <w:r>
        <w:rPr>
          <w:rFonts w:hint="eastAsia"/>
        </w:rPr>
        <w:t>(</w:t>
      </w:r>
      <w:r>
        <w:t xml:space="preserve">3) </w:t>
      </w:r>
      <w:r>
        <w:rPr>
          <w:rFonts w:hint="eastAsia"/>
        </w:rPr>
        <w:t>特征组合后效果比单一特征效果好。</w:t>
      </w:r>
      <w:r>
        <w:t>“经纬度+基站词向量表征（Average）”的特征组合在XGBoos</w:t>
      </w:r>
      <w:r>
        <w:rPr>
          <w:rFonts w:hint="eastAsia"/>
        </w:rPr>
        <w:t>t</w:t>
      </w:r>
      <w:r>
        <w:t>上F1-score为35%比仅仅加入“经纬度”特征</w:t>
      </w:r>
      <w:r>
        <w:rPr>
          <w:rFonts w:hint="eastAsia"/>
        </w:rPr>
        <w:t>高出</w:t>
      </w:r>
      <w:r>
        <w:t>5%，</w:t>
      </w:r>
      <w:r>
        <w:rPr>
          <w:rFonts w:hint="eastAsia"/>
        </w:rPr>
        <w:t>提升</w:t>
      </w:r>
      <w:r>
        <w:t>(0.35-0.3)/0.3=16.6%；在LR上的F1-score为35%比仅仅加入“经纬度”特征</w:t>
      </w:r>
      <w:r>
        <w:rPr>
          <w:rFonts w:hint="eastAsia"/>
        </w:rPr>
        <w:t>高出20%，</w:t>
      </w:r>
      <w:r>
        <w:t>提升(0.35-0.15)/0.15=1</w:t>
      </w:r>
      <w:r>
        <w:rPr>
          <w:rFonts w:hint="eastAsia"/>
        </w:rPr>
        <w:t>33</w:t>
      </w:r>
      <w:r>
        <w:t>%</w:t>
      </w:r>
      <w:r>
        <w:rPr>
          <w:rFonts w:hint="eastAsia"/>
        </w:rPr>
        <w:t>。</w:t>
      </w:r>
    </w:p>
    <w:p>
      <w:pPr>
        <w:ind w:firstLine="480"/>
        <w:rPr>
          <w:bCs/>
          <w:kern w:val="0"/>
        </w:rPr>
      </w:pPr>
      <w:r>
        <w:rPr>
          <w:rFonts w:hint="eastAsia"/>
        </w:rPr>
        <w:t>我们从前文1</w:t>
      </w:r>
      <w:r>
        <w:t>0</w:t>
      </w:r>
      <w:r>
        <w:rPr>
          <w:rFonts w:hint="eastAsia"/>
        </w:rPr>
        <w:t>组实验中选取分类性能较优的实验组，具体对分析各类型的分类能力。我们选取的实验组其特征组合为：</w:t>
      </w:r>
      <w:r>
        <w:rPr>
          <w:kern w:val="0"/>
        </w:rPr>
        <w:t>经纬度+基站词向量表征（</w:t>
      </w:r>
      <w:r>
        <w:rPr>
          <w:caps/>
          <w:lang w:bidi="ar"/>
        </w:rPr>
        <w:t>Ave</w:t>
      </w:r>
      <w:r>
        <w:rPr>
          <w:kern w:val="0"/>
        </w:rPr>
        <w:t>）</w:t>
      </w:r>
      <w:r>
        <w:rPr>
          <w:rFonts w:hint="eastAsia"/>
          <w:kern w:val="0"/>
        </w:rPr>
        <w:t>；使用模型为：XGBoost，具体分类情况如表5-</w:t>
      </w:r>
      <w:r>
        <w:rPr>
          <w:kern w:val="0"/>
        </w:rPr>
        <w:t>5</w:t>
      </w:r>
      <w:r>
        <w:rPr>
          <w:rFonts w:hint="eastAsia"/>
          <w:kern w:val="0"/>
        </w:rPr>
        <w:t>所示。</w:t>
      </w:r>
    </w:p>
    <w:p>
      <w:pPr>
        <w:spacing w:before="156" w:beforeLines="50" w:line="240" w:lineRule="auto"/>
        <w:ind w:firstLine="357" w:firstLineChars="0"/>
        <w:jc w:val="center"/>
        <w:rPr>
          <w:sz w:val="21"/>
          <w:szCs w:val="21"/>
        </w:rPr>
      </w:pPr>
      <w:r>
        <w:rPr>
          <w:rFonts w:hint="eastAsia"/>
          <w:sz w:val="21"/>
          <w:szCs w:val="21"/>
        </w:rPr>
        <w:t>表5</w:t>
      </w:r>
      <w:r>
        <w:rPr>
          <w:sz w:val="21"/>
          <w:szCs w:val="21"/>
        </w:rPr>
        <w:t>-5</w:t>
      </w:r>
      <w:r>
        <w:rPr>
          <w:rFonts w:hint="eastAsia"/>
          <w:sz w:val="21"/>
          <w:szCs w:val="21"/>
        </w:rPr>
        <w:t xml:space="preserve"> 最优结果的详细统计表</w:t>
      </w:r>
    </w:p>
    <w:p>
      <w:pPr>
        <w:spacing w:after="156" w:afterLines="50" w:line="240" w:lineRule="auto"/>
        <w:ind w:firstLine="420"/>
        <w:jc w:val="center"/>
        <w:rPr>
          <w:sz w:val="21"/>
          <w:szCs w:val="21"/>
        </w:rPr>
      </w:pPr>
      <w:r>
        <w:rPr>
          <w:sz w:val="21"/>
          <w:szCs w:val="21"/>
        </w:rPr>
        <w:t xml:space="preserve">Table </w:t>
      </w:r>
      <w:r>
        <w:rPr>
          <w:rFonts w:hint="eastAsia"/>
          <w:sz w:val="21"/>
          <w:szCs w:val="21"/>
        </w:rPr>
        <w:t>5</w:t>
      </w:r>
      <w:r>
        <w:rPr>
          <w:sz w:val="21"/>
          <w:szCs w:val="21"/>
        </w:rPr>
        <w:t>-</w:t>
      </w:r>
      <w:r>
        <w:rPr>
          <w:rFonts w:hint="eastAsia"/>
          <w:sz w:val="21"/>
          <w:szCs w:val="21"/>
        </w:rPr>
        <w:t xml:space="preserve">4 </w:t>
      </w:r>
      <w:r>
        <w:rPr>
          <w:sz w:val="21"/>
          <w:szCs w:val="21"/>
        </w:rPr>
        <w:t xml:space="preserve">Detailed </w:t>
      </w:r>
      <w:r>
        <w:rPr>
          <w:rFonts w:hint="eastAsia"/>
          <w:sz w:val="21"/>
          <w:szCs w:val="21"/>
        </w:rPr>
        <w:t>S</w:t>
      </w:r>
      <w:r>
        <w:rPr>
          <w:sz w:val="21"/>
          <w:szCs w:val="21"/>
        </w:rPr>
        <w:t xml:space="preserve">tatistical </w:t>
      </w:r>
      <w:r>
        <w:rPr>
          <w:rFonts w:hint="eastAsia"/>
          <w:sz w:val="21"/>
          <w:szCs w:val="21"/>
        </w:rPr>
        <w:t>T</w:t>
      </w:r>
      <w:r>
        <w:rPr>
          <w:sz w:val="21"/>
          <w:szCs w:val="21"/>
        </w:rPr>
        <w:t xml:space="preserve">able of </w:t>
      </w:r>
      <w:r>
        <w:rPr>
          <w:rFonts w:hint="eastAsia"/>
          <w:sz w:val="21"/>
          <w:szCs w:val="21"/>
        </w:rPr>
        <w:t>O</w:t>
      </w:r>
      <w:r>
        <w:rPr>
          <w:sz w:val="21"/>
          <w:szCs w:val="21"/>
        </w:rPr>
        <w:t xml:space="preserve">ptimal </w:t>
      </w:r>
      <w:r>
        <w:rPr>
          <w:rFonts w:hint="eastAsia"/>
          <w:sz w:val="21"/>
          <w:szCs w:val="21"/>
        </w:rPr>
        <w:t>R</w:t>
      </w:r>
      <w:r>
        <w:rPr>
          <w:sz w:val="21"/>
          <w:szCs w:val="21"/>
        </w:rPr>
        <w:t>esults</w:t>
      </w:r>
    </w:p>
    <w:tbl>
      <w:tblPr>
        <w:tblStyle w:val="24"/>
        <w:tblW w:w="9286" w:type="dxa"/>
        <w:tblInd w:w="0" w:type="dxa"/>
        <w:tblLayout w:type="fixed"/>
        <w:tblCellMar>
          <w:top w:w="0" w:type="dxa"/>
          <w:left w:w="108" w:type="dxa"/>
          <w:bottom w:w="0" w:type="dxa"/>
          <w:right w:w="108" w:type="dxa"/>
        </w:tblCellMar>
      </w:tblPr>
      <w:tblGrid>
        <w:gridCol w:w="1810"/>
        <w:gridCol w:w="1869"/>
        <w:gridCol w:w="1869"/>
        <w:gridCol w:w="1868"/>
        <w:gridCol w:w="1870"/>
      </w:tblGrid>
      <w:tr>
        <w:tblPrEx>
          <w:tblLayout w:type="fixed"/>
          <w:tblCellMar>
            <w:top w:w="0" w:type="dxa"/>
            <w:left w:w="108" w:type="dxa"/>
            <w:bottom w:w="0" w:type="dxa"/>
            <w:right w:w="108" w:type="dxa"/>
          </w:tblCellMar>
        </w:tblPrEx>
        <w:tc>
          <w:tcPr>
            <w:tcW w:w="1810" w:type="dxa"/>
            <w:tcBorders>
              <w:top w:val="single" w:color="auto" w:sz="12" w:space="0"/>
              <w:bottom w:val="single" w:color="auto" w:sz="4" w:space="0"/>
            </w:tcBorders>
            <w:shd w:val="clear" w:color="auto" w:fill="auto"/>
            <w:vAlign w:val="center"/>
          </w:tcPr>
          <w:p>
            <w:pPr>
              <w:ind w:left="480" w:firstLine="0" w:firstLineChars="0"/>
              <w:jc w:val="center"/>
            </w:pPr>
            <w:r>
              <w:rPr>
                <w:rFonts w:hint="eastAsia"/>
              </w:rPr>
              <w:t>类别</w:t>
            </w:r>
          </w:p>
        </w:tc>
        <w:tc>
          <w:tcPr>
            <w:tcW w:w="1869" w:type="dxa"/>
            <w:tcBorders>
              <w:top w:val="single" w:color="auto" w:sz="12" w:space="0"/>
              <w:bottom w:val="single" w:color="auto" w:sz="4" w:space="0"/>
            </w:tcBorders>
            <w:shd w:val="clear" w:color="auto" w:fill="auto"/>
            <w:vAlign w:val="center"/>
          </w:tcPr>
          <w:p>
            <w:pPr>
              <w:ind w:left="480" w:firstLine="0" w:firstLineChars="0"/>
              <w:jc w:val="center"/>
            </w:pPr>
            <w:r>
              <w:rPr>
                <w:rFonts w:hint="eastAsia"/>
              </w:rPr>
              <w:t>精确率</w:t>
            </w:r>
          </w:p>
        </w:tc>
        <w:tc>
          <w:tcPr>
            <w:tcW w:w="1869" w:type="dxa"/>
            <w:tcBorders>
              <w:top w:val="single" w:color="auto" w:sz="12" w:space="0"/>
              <w:bottom w:val="single" w:color="auto" w:sz="4" w:space="0"/>
            </w:tcBorders>
            <w:shd w:val="clear" w:color="auto" w:fill="auto"/>
            <w:vAlign w:val="center"/>
          </w:tcPr>
          <w:p>
            <w:pPr>
              <w:ind w:left="480" w:firstLine="0" w:firstLineChars="0"/>
              <w:jc w:val="center"/>
            </w:pPr>
            <w:r>
              <w:rPr>
                <w:rFonts w:hint="eastAsia"/>
              </w:rPr>
              <w:t>召回率</w:t>
            </w:r>
          </w:p>
        </w:tc>
        <w:tc>
          <w:tcPr>
            <w:tcW w:w="1868" w:type="dxa"/>
            <w:tcBorders>
              <w:top w:val="single" w:color="auto" w:sz="12" w:space="0"/>
              <w:bottom w:val="single" w:color="auto" w:sz="4" w:space="0"/>
            </w:tcBorders>
            <w:vAlign w:val="center"/>
          </w:tcPr>
          <w:p>
            <w:pPr>
              <w:ind w:left="480" w:firstLine="0" w:firstLineChars="0"/>
              <w:jc w:val="center"/>
            </w:pPr>
            <w:r>
              <w:rPr>
                <w:rFonts w:hint="eastAsia"/>
              </w:rPr>
              <w:t>F1-Score</w:t>
            </w:r>
          </w:p>
        </w:tc>
        <w:tc>
          <w:tcPr>
            <w:tcW w:w="1870" w:type="dxa"/>
            <w:tcBorders>
              <w:top w:val="single" w:color="auto" w:sz="12" w:space="0"/>
              <w:bottom w:val="single" w:color="auto" w:sz="4" w:space="0"/>
            </w:tcBorders>
            <w:vAlign w:val="center"/>
          </w:tcPr>
          <w:p>
            <w:pPr>
              <w:ind w:left="480" w:firstLine="0" w:firstLineChars="0"/>
              <w:jc w:val="center"/>
            </w:pPr>
            <w:r>
              <w:rPr>
                <w:rFonts w:hint="eastAsia"/>
              </w:rPr>
              <w:t>类型总数</w:t>
            </w:r>
          </w:p>
        </w:tc>
      </w:tr>
      <w:tr>
        <w:tblPrEx>
          <w:tblLayout w:type="fixed"/>
          <w:tblCellMar>
            <w:top w:w="0" w:type="dxa"/>
            <w:left w:w="108" w:type="dxa"/>
            <w:bottom w:w="0" w:type="dxa"/>
            <w:right w:w="108" w:type="dxa"/>
          </w:tblCellMar>
        </w:tblPrEx>
        <w:tc>
          <w:tcPr>
            <w:tcW w:w="1810" w:type="dxa"/>
            <w:shd w:val="clear" w:color="auto" w:fill="auto"/>
            <w:vAlign w:val="center"/>
          </w:tcPr>
          <w:p>
            <w:pPr>
              <w:ind w:left="480" w:firstLine="0" w:firstLineChars="0"/>
              <w:jc w:val="center"/>
            </w:pPr>
            <w:r>
              <w:rPr>
                <w:rFonts w:hint="eastAsia"/>
              </w:rPr>
              <w:t>1</w:t>
            </w:r>
          </w:p>
        </w:tc>
        <w:tc>
          <w:tcPr>
            <w:tcW w:w="1869" w:type="dxa"/>
            <w:shd w:val="clear" w:color="auto" w:fill="auto"/>
            <w:vAlign w:val="center"/>
          </w:tcPr>
          <w:p>
            <w:pPr>
              <w:ind w:left="480" w:firstLine="0" w:firstLineChars="0"/>
              <w:jc w:val="center"/>
            </w:pPr>
            <w:r>
              <w:rPr>
                <w:rFonts w:hint="eastAsia"/>
              </w:rPr>
              <w:t>0.48</w:t>
            </w:r>
          </w:p>
        </w:tc>
        <w:tc>
          <w:tcPr>
            <w:tcW w:w="1869" w:type="dxa"/>
            <w:shd w:val="clear" w:color="auto" w:fill="auto"/>
            <w:vAlign w:val="center"/>
          </w:tcPr>
          <w:p>
            <w:pPr>
              <w:ind w:left="480" w:firstLine="0" w:firstLineChars="0"/>
              <w:jc w:val="center"/>
            </w:pPr>
            <w:r>
              <w:rPr>
                <w:rFonts w:hint="eastAsia"/>
              </w:rPr>
              <w:t>0.59</w:t>
            </w:r>
          </w:p>
        </w:tc>
        <w:tc>
          <w:tcPr>
            <w:tcW w:w="1868" w:type="dxa"/>
            <w:vAlign w:val="center"/>
          </w:tcPr>
          <w:p>
            <w:pPr>
              <w:ind w:left="480" w:firstLine="0" w:firstLineChars="0"/>
              <w:jc w:val="center"/>
              <w:rPr>
                <w:b/>
              </w:rPr>
            </w:pPr>
            <w:r>
              <w:rPr>
                <w:rFonts w:hint="eastAsia"/>
                <w:b/>
              </w:rPr>
              <w:t>0.53</w:t>
            </w:r>
          </w:p>
        </w:tc>
        <w:tc>
          <w:tcPr>
            <w:tcW w:w="1870" w:type="dxa"/>
            <w:vAlign w:val="center"/>
          </w:tcPr>
          <w:p>
            <w:pPr>
              <w:ind w:left="480" w:firstLine="0" w:firstLineChars="0"/>
              <w:jc w:val="center"/>
            </w:pPr>
            <w:r>
              <w:rPr>
                <w:rFonts w:hint="eastAsia"/>
              </w:rPr>
              <w:t>796</w:t>
            </w:r>
          </w:p>
        </w:tc>
      </w:tr>
      <w:tr>
        <w:tblPrEx>
          <w:tblLayout w:type="fixed"/>
          <w:tblCellMar>
            <w:top w:w="0" w:type="dxa"/>
            <w:left w:w="108" w:type="dxa"/>
            <w:bottom w:w="0" w:type="dxa"/>
            <w:right w:w="108" w:type="dxa"/>
          </w:tblCellMar>
        </w:tblPrEx>
        <w:tc>
          <w:tcPr>
            <w:tcW w:w="1810" w:type="dxa"/>
            <w:shd w:val="clear" w:color="auto" w:fill="auto"/>
            <w:vAlign w:val="center"/>
          </w:tcPr>
          <w:p>
            <w:pPr>
              <w:ind w:left="480" w:firstLine="0" w:firstLineChars="0"/>
              <w:jc w:val="center"/>
            </w:pPr>
            <w:r>
              <w:rPr>
                <w:rFonts w:hint="eastAsia"/>
              </w:rPr>
              <w:t>2</w:t>
            </w:r>
          </w:p>
        </w:tc>
        <w:tc>
          <w:tcPr>
            <w:tcW w:w="1869" w:type="dxa"/>
            <w:shd w:val="clear" w:color="auto" w:fill="auto"/>
            <w:vAlign w:val="center"/>
          </w:tcPr>
          <w:p>
            <w:pPr>
              <w:ind w:left="480" w:firstLine="0" w:firstLineChars="0"/>
              <w:jc w:val="center"/>
            </w:pPr>
            <w:r>
              <w:rPr>
                <w:rFonts w:hint="eastAsia"/>
              </w:rPr>
              <w:t>0.33</w:t>
            </w:r>
          </w:p>
        </w:tc>
        <w:tc>
          <w:tcPr>
            <w:tcW w:w="1869" w:type="dxa"/>
            <w:shd w:val="clear" w:color="auto" w:fill="auto"/>
            <w:vAlign w:val="center"/>
          </w:tcPr>
          <w:p>
            <w:pPr>
              <w:ind w:left="480" w:firstLine="0" w:firstLineChars="0"/>
              <w:jc w:val="center"/>
            </w:pPr>
            <w:r>
              <w:rPr>
                <w:rFonts w:hint="eastAsia"/>
              </w:rPr>
              <w:t>0.17</w:t>
            </w:r>
          </w:p>
        </w:tc>
        <w:tc>
          <w:tcPr>
            <w:tcW w:w="1868" w:type="dxa"/>
            <w:vAlign w:val="center"/>
          </w:tcPr>
          <w:p>
            <w:pPr>
              <w:ind w:left="480" w:firstLine="0" w:firstLineChars="0"/>
              <w:jc w:val="center"/>
            </w:pPr>
            <w:r>
              <w:rPr>
                <w:rFonts w:hint="eastAsia"/>
              </w:rPr>
              <w:t>0.23</w:t>
            </w:r>
          </w:p>
        </w:tc>
        <w:tc>
          <w:tcPr>
            <w:tcW w:w="1870" w:type="dxa"/>
            <w:vAlign w:val="center"/>
          </w:tcPr>
          <w:p>
            <w:pPr>
              <w:ind w:left="480" w:firstLine="0" w:firstLineChars="0"/>
              <w:jc w:val="center"/>
            </w:pPr>
            <w:r>
              <w:rPr>
                <w:rFonts w:hint="eastAsia"/>
              </w:rPr>
              <w:t>303</w:t>
            </w:r>
          </w:p>
        </w:tc>
      </w:tr>
      <w:tr>
        <w:tblPrEx>
          <w:tblLayout w:type="fixed"/>
          <w:tblCellMar>
            <w:top w:w="0" w:type="dxa"/>
            <w:left w:w="108" w:type="dxa"/>
            <w:bottom w:w="0" w:type="dxa"/>
            <w:right w:w="108" w:type="dxa"/>
          </w:tblCellMar>
        </w:tblPrEx>
        <w:tc>
          <w:tcPr>
            <w:tcW w:w="1810" w:type="dxa"/>
            <w:shd w:val="clear" w:color="auto" w:fill="auto"/>
            <w:vAlign w:val="center"/>
          </w:tcPr>
          <w:p>
            <w:pPr>
              <w:ind w:left="480" w:firstLine="0" w:firstLineChars="0"/>
              <w:jc w:val="center"/>
            </w:pPr>
            <w:r>
              <w:rPr>
                <w:rFonts w:hint="eastAsia"/>
              </w:rPr>
              <w:t>3</w:t>
            </w:r>
          </w:p>
        </w:tc>
        <w:tc>
          <w:tcPr>
            <w:tcW w:w="1869" w:type="dxa"/>
            <w:shd w:val="clear" w:color="auto" w:fill="auto"/>
            <w:vAlign w:val="center"/>
          </w:tcPr>
          <w:p>
            <w:pPr>
              <w:ind w:left="480" w:firstLine="0" w:firstLineChars="0"/>
              <w:jc w:val="center"/>
            </w:pPr>
            <w:r>
              <w:rPr>
                <w:rFonts w:hint="eastAsia"/>
              </w:rPr>
              <w:t>0.27</w:t>
            </w:r>
          </w:p>
        </w:tc>
        <w:tc>
          <w:tcPr>
            <w:tcW w:w="1869" w:type="dxa"/>
            <w:shd w:val="clear" w:color="auto" w:fill="auto"/>
            <w:vAlign w:val="center"/>
          </w:tcPr>
          <w:p>
            <w:pPr>
              <w:ind w:left="480" w:firstLine="0" w:firstLineChars="0"/>
              <w:jc w:val="center"/>
            </w:pPr>
            <w:r>
              <w:rPr>
                <w:rFonts w:hint="eastAsia"/>
              </w:rPr>
              <w:t>0.15</w:t>
            </w:r>
          </w:p>
        </w:tc>
        <w:tc>
          <w:tcPr>
            <w:tcW w:w="1868" w:type="dxa"/>
            <w:vAlign w:val="center"/>
          </w:tcPr>
          <w:p>
            <w:pPr>
              <w:ind w:left="480" w:firstLine="0" w:firstLineChars="0"/>
              <w:jc w:val="center"/>
            </w:pPr>
            <w:r>
              <w:rPr>
                <w:rFonts w:hint="eastAsia"/>
              </w:rPr>
              <w:t>0.19</w:t>
            </w:r>
          </w:p>
        </w:tc>
        <w:tc>
          <w:tcPr>
            <w:tcW w:w="1870" w:type="dxa"/>
            <w:vAlign w:val="center"/>
          </w:tcPr>
          <w:p>
            <w:pPr>
              <w:ind w:left="480" w:firstLine="0" w:firstLineChars="0"/>
              <w:jc w:val="center"/>
            </w:pPr>
            <w:r>
              <w:rPr>
                <w:rFonts w:hint="eastAsia"/>
              </w:rPr>
              <w:t>281</w:t>
            </w:r>
          </w:p>
        </w:tc>
      </w:tr>
      <w:tr>
        <w:tblPrEx>
          <w:tblLayout w:type="fixed"/>
          <w:tblCellMar>
            <w:top w:w="0" w:type="dxa"/>
            <w:left w:w="108" w:type="dxa"/>
            <w:bottom w:w="0" w:type="dxa"/>
            <w:right w:w="108" w:type="dxa"/>
          </w:tblCellMar>
        </w:tblPrEx>
        <w:tc>
          <w:tcPr>
            <w:tcW w:w="1810" w:type="dxa"/>
            <w:shd w:val="clear" w:color="auto" w:fill="auto"/>
            <w:vAlign w:val="center"/>
          </w:tcPr>
          <w:p>
            <w:pPr>
              <w:ind w:left="480" w:firstLine="0" w:firstLineChars="0"/>
              <w:jc w:val="center"/>
            </w:pPr>
            <w:r>
              <w:rPr>
                <w:rFonts w:hint="eastAsia"/>
              </w:rPr>
              <w:t>4</w:t>
            </w:r>
          </w:p>
        </w:tc>
        <w:tc>
          <w:tcPr>
            <w:tcW w:w="1869" w:type="dxa"/>
            <w:shd w:val="clear" w:color="auto" w:fill="auto"/>
            <w:vAlign w:val="center"/>
          </w:tcPr>
          <w:p>
            <w:pPr>
              <w:ind w:left="480" w:firstLine="0" w:firstLineChars="0"/>
              <w:jc w:val="center"/>
            </w:pPr>
            <w:r>
              <w:rPr>
                <w:rFonts w:hint="eastAsia"/>
              </w:rPr>
              <w:t>0.46</w:t>
            </w:r>
          </w:p>
        </w:tc>
        <w:tc>
          <w:tcPr>
            <w:tcW w:w="1869" w:type="dxa"/>
            <w:shd w:val="clear" w:color="auto" w:fill="auto"/>
            <w:vAlign w:val="center"/>
          </w:tcPr>
          <w:p>
            <w:pPr>
              <w:ind w:left="480" w:firstLine="0" w:firstLineChars="0"/>
              <w:jc w:val="center"/>
            </w:pPr>
            <w:r>
              <w:rPr>
                <w:rFonts w:hint="eastAsia"/>
              </w:rPr>
              <w:t>0.58</w:t>
            </w:r>
          </w:p>
        </w:tc>
        <w:tc>
          <w:tcPr>
            <w:tcW w:w="1868" w:type="dxa"/>
            <w:vAlign w:val="center"/>
          </w:tcPr>
          <w:p>
            <w:pPr>
              <w:ind w:left="480" w:firstLine="0" w:firstLineChars="0"/>
              <w:jc w:val="center"/>
              <w:rPr>
                <w:b/>
              </w:rPr>
            </w:pPr>
            <w:r>
              <w:rPr>
                <w:rFonts w:hint="eastAsia"/>
                <w:b/>
              </w:rPr>
              <w:t>0.52</w:t>
            </w:r>
          </w:p>
        </w:tc>
        <w:tc>
          <w:tcPr>
            <w:tcW w:w="1870" w:type="dxa"/>
            <w:vAlign w:val="center"/>
          </w:tcPr>
          <w:p>
            <w:pPr>
              <w:ind w:left="480" w:firstLine="0" w:firstLineChars="0"/>
              <w:jc w:val="center"/>
            </w:pPr>
            <w:r>
              <w:rPr>
                <w:rFonts w:hint="eastAsia"/>
              </w:rPr>
              <w:t>249</w:t>
            </w:r>
          </w:p>
        </w:tc>
      </w:tr>
      <w:tr>
        <w:tblPrEx>
          <w:tblLayout w:type="fixed"/>
          <w:tblCellMar>
            <w:top w:w="0" w:type="dxa"/>
            <w:left w:w="108" w:type="dxa"/>
            <w:bottom w:w="0" w:type="dxa"/>
            <w:right w:w="108" w:type="dxa"/>
          </w:tblCellMar>
        </w:tblPrEx>
        <w:tc>
          <w:tcPr>
            <w:tcW w:w="1810" w:type="dxa"/>
            <w:shd w:val="clear" w:color="auto" w:fill="auto"/>
            <w:vAlign w:val="center"/>
          </w:tcPr>
          <w:p>
            <w:pPr>
              <w:ind w:left="480" w:firstLine="0" w:firstLineChars="0"/>
              <w:jc w:val="center"/>
            </w:pPr>
            <w:r>
              <w:rPr>
                <w:rFonts w:hint="eastAsia"/>
              </w:rPr>
              <w:t>5</w:t>
            </w:r>
          </w:p>
        </w:tc>
        <w:tc>
          <w:tcPr>
            <w:tcW w:w="1869" w:type="dxa"/>
            <w:shd w:val="clear" w:color="auto" w:fill="auto"/>
            <w:vAlign w:val="center"/>
          </w:tcPr>
          <w:p>
            <w:pPr>
              <w:ind w:left="480" w:firstLine="0" w:firstLineChars="0"/>
              <w:jc w:val="center"/>
            </w:pPr>
            <w:r>
              <w:rPr>
                <w:rFonts w:hint="eastAsia"/>
              </w:rPr>
              <w:t>0.07</w:t>
            </w:r>
          </w:p>
        </w:tc>
        <w:tc>
          <w:tcPr>
            <w:tcW w:w="1869" w:type="dxa"/>
            <w:shd w:val="clear" w:color="auto" w:fill="auto"/>
            <w:vAlign w:val="center"/>
          </w:tcPr>
          <w:p>
            <w:pPr>
              <w:ind w:left="480" w:firstLine="0" w:firstLineChars="0"/>
              <w:jc w:val="center"/>
            </w:pPr>
            <w:r>
              <w:rPr>
                <w:rFonts w:hint="eastAsia"/>
              </w:rPr>
              <w:t>0.14</w:t>
            </w:r>
          </w:p>
        </w:tc>
        <w:tc>
          <w:tcPr>
            <w:tcW w:w="1868" w:type="dxa"/>
            <w:vAlign w:val="center"/>
          </w:tcPr>
          <w:p>
            <w:pPr>
              <w:ind w:left="480" w:firstLine="0" w:firstLineChars="0"/>
              <w:jc w:val="center"/>
            </w:pPr>
            <w:r>
              <w:rPr>
                <w:rFonts w:hint="eastAsia"/>
              </w:rPr>
              <w:t>0.09</w:t>
            </w:r>
          </w:p>
        </w:tc>
        <w:tc>
          <w:tcPr>
            <w:tcW w:w="1870" w:type="dxa"/>
            <w:vAlign w:val="center"/>
          </w:tcPr>
          <w:p>
            <w:pPr>
              <w:ind w:left="480" w:firstLine="0" w:firstLineChars="0"/>
              <w:jc w:val="center"/>
            </w:pPr>
            <w:r>
              <w:rPr>
                <w:rFonts w:hint="eastAsia"/>
              </w:rPr>
              <w:t>132</w:t>
            </w:r>
          </w:p>
        </w:tc>
      </w:tr>
      <w:tr>
        <w:tblPrEx>
          <w:tblLayout w:type="fixed"/>
          <w:tblCellMar>
            <w:top w:w="0" w:type="dxa"/>
            <w:left w:w="108" w:type="dxa"/>
            <w:bottom w:w="0" w:type="dxa"/>
            <w:right w:w="108" w:type="dxa"/>
          </w:tblCellMar>
        </w:tblPrEx>
        <w:tc>
          <w:tcPr>
            <w:tcW w:w="1810" w:type="dxa"/>
            <w:shd w:val="clear" w:color="auto" w:fill="auto"/>
            <w:vAlign w:val="center"/>
          </w:tcPr>
          <w:p>
            <w:pPr>
              <w:ind w:left="480" w:firstLine="0" w:firstLineChars="0"/>
              <w:jc w:val="center"/>
            </w:pPr>
            <w:r>
              <w:rPr>
                <w:rFonts w:hint="eastAsia"/>
              </w:rPr>
              <w:t>6</w:t>
            </w:r>
          </w:p>
        </w:tc>
        <w:tc>
          <w:tcPr>
            <w:tcW w:w="1869" w:type="dxa"/>
            <w:shd w:val="clear" w:color="auto" w:fill="auto"/>
            <w:vAlign w:val="center"/>
          </w:tcPr>
          <w:p>
            <w:pPr>
              <w:ind w:left="480" w:firstLine="0" w:firstLineChars="0"/>
              <w:jc w:val="center"/>
            </w:pPr>
            <w:r>
              <w:rPr>
                <w:rFonts w:hint="eastAsia"/>
              </w:rPr>
              <w:t>0.05</w:t>
            </w:r>
          </w:p>
        </w:tc>
        <w:tc>
          <w:tcPr>
            <w:tcW w:w="1869" w:type="dxa"/>
            <w:shd w:val="clear" w:color="auto" w:fill="auto"/>
            <w:vAlign w:val="center"/>
          </w:tcPr>
          <w:p>
            <w:pPr>
              <w:ind w:left="480" w:firstLine="0" w:firstLineChars="0"/>
              <w:jc w:val="center"/>
            </w:pPr>
            <w:r>
              <w:rPr>
                <w:rFonts w:hint="eastAsia"/>
              </w:rPr>
              <w:t>0.04</w:t>
            </w:r>
          </w:p>
        </w:tc>
        <w:tc>
          <w:tcPr>
            <w:tcW w:w="1868" w:type="dxa"/>
            <w:vAlign w:val="center"/>
          </w:tcPr>
          <w:p>
            <w:pPr>
              <w:ind w:left="480" w:firstLine="0" w:firstLineChars="0"/>
              <w:jc w:val="center"/>
            </w:pPr>
            <w:r>
              <w:rPr>
                <w:rFonts w:hint="eastAsia"/>
              </w:rPr>
              <w:t>0.04</w:t>
            </w:r>
          </w:p>
        </w:tc>
        <w:tc>
          <w:tcPr>
            <w:tcW w:w="1870" w:type="dxa"/>
            <w:vAlign w:val="center"/>
          </w:tcPr>
          <w:p>
            <w:pPr>
              <w:ind w:left="480" w:firstLine="0" w:firstLineChars="0"/>
              <w:jc w:val="center"/>
            </w:pPr>
            <w:r>
              <w:rPr>
                <w:rFonts w:hint="eastAsia"/>
              </w:rPr>
              <w:t>132</w:t>
            </w:r>
          </w:p>
        </w:tc>
      </w:tr>
      <w:tr>
        <w:tblPrEx>
          <w:tblLayout w:type="fixed"/>
          <w:tblCellMar>
            <w:top w:w="0" w:type="dxa"/>
            <w:left w:w="108" w:type="dxa"/>
            <w:bottom w:w="0" w:type="dxa"/>
            <w:right w:w="108" w:type="dxa"/>
          </w:tblCellMar>
        </w:tblPrEx>
        <w:tc>
          <w:tcPr>
            <w:tcW w:w="1810" w:type="dxa"/>
            <w:shd w:val="clear" w:color="auto" w:fill="auto"/>
            <w:vAlign w:val="center"/>
          </w:tcPr>
          <w:p>
            <w:pPr>
              <w:ind w:left="480" w:firstLine="0" w:firstLineChars="0"/>
              <w:jc w:val="center"/>
            </w:pPr>
            <w:r>
              <w:rPr>
                <w:rFonts w:hint="eastAsia"/>
              </w:rPr>
              <w:t>其他</w:t>
            </w:r>
          </w:p>
        </w:tc>
        <w:tc>
          <w:tcPr>
            <w:tcW w:w="1869" w:type="dxa"/>
            <w:shd w:val="clear" w:color="auto" w:fill="auto"/>
            <w:vAlign w:val="center"/>
          </w:tcPr>
          <w:p>
            <w:pPr>
              <w:ind w:left="480" w:firstLine="0" w:firstLineChars="0"/>
              <w:jc w:val="center"/>
            </w:pPr>
            <w:r>
              <w:rPr>
                <w:rFonts w:hint="eastAsia"/>
              </w:rPr>
              <w:t>0.27</w:t>
            </w:r>
          </w:p>
        </w:tc>
        <w:tc>
          <w:tcPr>
            <w:tcW w:w="1869" w:type="dxa"/>
            <w:shd w:val="clear" w:color="auto" w:fill="auto"/>
            <w:vAlign w:val="center"/>
          </w:tcPr>
          <w:p>
            <w:pPr>
              <w:ind w:left="480" w:firstLine="0" w:firstLineChars="0"/>
              <w:jc w:val="center"/>
            </w:pPr>
            <w:r>
              <w:rPr>
                <w:rFonts w:hint="eastAsia"/>
              </w:rPr>
              <w:t>0.17</w:t>
            </w:r>
          </w:p>
        </w:tc>
        <w:tc>
          <w:tcPr>
            <w:tcW w:w="1868" w:type="dxa"/>
            <w:vAlign w:val="center"/>
          </w:tcPr>
          <w:p>
            <w:pPr>
              <w:ind w:left="480" w:firstLine="0" w:firstLineChars="0"/>
              <w:jc w:val="center"/>
            </w:pPr>
            <w:r>
              <w:rPr>
                <w:rFonts w:hint="eastAsia"/>
              </w:rPr>
              <w:t>0.21</w:t>
            </w:r>
          </w:p>
        </w:tc>
        <w:tc>
          <w:tcPr>
            <w:tcW w:w="1870" w:type="dxa"/>
            <w:vAlign w:val="center"/>
          </w:tcPr>
          <w:p>
            <w:pPr>
              <w:ind w:left="480" w:firstLine="0" w:firstLineChars="0"/>
              <w:jc w:val="center"/>
            </w:pPr>
            <w:r>
              <w:rPr>
                <w:rFonts w:hint="eastAsia"/>
              </w:rPr>
              <w:t>2</w:t>
            </w:r>
            <w:r>
              <w:t>40</w:t>
            </w:r>
          </w:p>
        </w:tc>
      </w:tr>
      <w:tr>
        <w:tblPrEx>
          <w:tblLayout w:type="fixed"/>
          <w:tblCellMar>
            <w:top w:w="0" w:type="dxa"/>
            <w:left w:w="108" w:type="dxa"/>
            <w:bottom w:w="0" w:type="dxa"/>
            <w:right w:w="108" w:type="dxa"/>
          </w:tblCellMar>
        </w:tblPrEx>
        <w:tc>
          <w:tcPr>
            <w:tcW w:w="1810" w:type="dxa"/>
            <w:tcBorders>
              <w:bottom w:val="single" w:color="auto" w:sz="12" w:space="0"/>
            </w:tcBorders>
            <w:shd w:val="clear" w:color="auto" w:fill="auto"/>
            <w:vAlign w:val="center"/>
          </w:tcPr>
          <w:p>
            <w:pPr>
              <w:ind w:left="480" w:firstLine="0" w:firstLineChars="0"/>
              <w:jc w:val="center"/>
            </w:pPr>
            <w:r>
              <w:rPr>
                <w:rFonts w:hint="eastAsia"/>
              </w:rPr>
              <w:t>加权平均</w:t>
            </w:r>
          </w:p>
        </w:tc>
        <w:tc>
          <w:tcPr>
            <w:tcW w:w="1869" w:type="dxa"/>
            <w:tcBorders>
              <w:bottom w:val="single" w:color="auto" w:sz="12" w:space="0"/>
            </w:tcBorders>
            <w:shd w:val="clear" w:color="auto" w:fill="auto"/>
            <w:vAlign w:val="center"/>
          </w:tcPr>
          <w:p>
            <w:pPr>
              <w:ind w:left="480" w:firstLine="0" w:firstLineChars="0"/>
              <w:jc w:val="center"/>
            </w:pPr>
            <w:r>
              <w:rPr>
                <w:rFonts w:hint="eastAsia"/>
              </w:rPr>
              <w:t>0.35</w:t>
            </w:r>
          </w:p>
        </w:tc>
        <w:tc>
          <w:tcPr>
            <w:tcW w:w="1869" w:type="dxa"/>
            <w:tcBorders>
              <w:bottom w:val="single" w:color="auto" w:sz="12" w:space="0"/>
            </w:tcBorders>
            <w:shd w:val="clear" w:color="auto" w:fill="auto"/>
            <w:vAlign w:val="center"/>
          </w:tcPr>
          <w:p>
            <w:pPr>
              <w:ind w:left="480" w:firstLine="0" w:firstLineChars="0"/>
              <w:jc w:val="center"/>
            </w:pPr>
            <w:r>
              <w:rPr>
                <w:rFonts w:hint="eastAsia"/>
              </w:rPr>
              <w:t>0.36</w:t>
            </w:r>
          </w:p>
        </w:tc>
        <w:tc>
          <w:tcPr>
            <w:tcW w:w="1868" w:type="dxa"/>
            <w:tcBorders>
              <w:bottom w:val="single" w:color="auto" w:sz="12" w:space="0"/>
            </w:tcBorders>
            <w:vAlign w:val="center"/>
          </w:tcPr>
          <w:p>
            <w:pPr>
              <w:ind w:left="480" w:firstLine="0" w:firstLineChars="0"/>
              <w:jc w:val="center"/>
              <w:rPr>
                <w:b/>
              </w:rPr>
            </w:pPr>
            <w:r>
              <w:rPr>
                <w:rFonts w:hint="eastAsia"/>
                <w:b/>
              </w:rPr>
              <w:t>0.35</w:t>
            </w:r>
          </w:p>
        </w:tc>
        <w:tc>
          <w:tcPr>
            <w:tcW w:w="1870" w:type="dxa"/>
            <w:tcBorders>
              <w:bottom w:val="single" w:color="auto" w:sz="12" w:space="0"/>
            </w:tcBorders>
            <w:vAlign w:val="center"/>
          </w:tcPr>
          <w:p>
            <w:pPr>
              <w:ind w:left="480" w:firstLine="0" w:firstLineChars="0"/>
              <w:jc w:val="center"/>
            </w:pPr>
            <w:r>
              <w:rPr>
                <w:rFonts w:hint="eastAsia"/>
              </w:rPr>
              <w:t>2133</w:t>
            </w:r>
          </w:p>
        </w:tc>
      </w:tr>
    </w:tbl>
    <w:p>
      <w:pPr>
        <w:ind w:firstLine="480"/>
        <w:rPr>
          <w:bCs/>
          <w:kern w:val="0"/>
        </w:rPr>
      </w:pPr>
      <w:r>
        <w:rPr>
          <w:rFonts w:hint="eastAsia"/>
          <w:bCs/>
          <w:kern w:val="0"/>
        </w:rPr>
        <w:t>在表5-</w:t>
      </w:r>
      <w:r>
        <w:rPr>
          <w:bCs/>
          <w:kern w:val="0"/>
        </w:rPr>
        <w:t>5</w:t>
      </w:r>
      <w:r>
        <w:rPr>
          <w:rFonts w:hint="eastAsia"/>
          <w:bCs/>
          <w:kern w:val="0"/>
        </w:rPr>
        <w:t>中，我们发现分类器能够较好的分出第1,4类，其数量占测试集的(7</w:t>
      </w:r>
      <w:r>
        <w:rPr>
          <w:bCs/>
          <w:kern w:val="0"/>
        </w:rPr>
        <w:t>96+249)</w:t>
      </w:r>
      <w:r>
        <w:rPr>
          <w:rFonts w:hint="eastAsia"/>
          <w:bCs/>
          <w:kern w:val="0"/>
        </w:rPr>
        <w:t>/</w:t>
      </w:r>
      <w:r>
        <w:rPr>
          <w:bCs/>
          <w:kern w:val="0"/>
        </w:rPr>
        <w:t>2133=49%</w:t>
      </w:r>
      <w:r>
        <w:rPr>
          <w:rFonts w:hint="eastAsia"/>
          <w:bCs/>
          <w:kern w:val="0"/>
        </w:rPr>
        <w:t>，所代表的类型为主模板流量型和春节流量型。从图4-</w:t>
      </w:r>
      <w:r>
        <w:rPr>
          <w:bCs/>
          <w:kern w:val="0"/>
        </w:rPr>
        <w:t>4</w:t>
      </w:r>
      <w:r>
        <w:rPr>
          <w:rFonts w:hint="eastAsia"/>
          <w:bCs/>
          <w:kern w:val="0"/>
        </w:rPr>
        <w:t>中我们我们能够发现这两种模式在“双1</w:t>
      </w:r>
      <w:r>
        <w:rPr>
          <w:bCs/>
          <w:kern w:val="0"/>
        </w:rPr>
        <w:t>1</w:t>
      </w:r>
      <w:r>
        <w:rPr>
          <w:rFonts w:hint="eastAsia"/>
          <w:bCs/>
          <w:kern w:val="0"/>
        </w:rPr>
        <w:t>”、“春节”上的反应截然相反，运营商可以根据这两类的模式提出针对性的措施。比如应对春节流量型郊区流量的上升，需要2月份在城郊增添临时基站或者增加频段。预测较差的是第5、6类，产生的原因可能是这两种基站的数目太少，分类器没能学习到有用的信息将这两类很好的区分。</w:t>
      </w:r>
    </w:p>
    <w:p>
      <w:pPr>
        <w:ind w:firstLine="480"/>
        <w:rPr>
          <w:bCs/>
          <w:kern w:val="0"/>
        </w:rPr>
      </w:pPr>
    </w:p>
    <w:p>
      <w:pPr>
        <w:pStyle w:val="40"/>
      </w:pPr>
      <w:bookmarkStart w:id="232" w:name="_Toc7858036"/>
      <w:r>
        <w:rPr>
          <w:rFonts w:hint="eastAsia"/>
        </w:rPr>
        <w:t>5.</w:t>
      </w:r>
      <w:r>
        <w:t>5</w:t>
      </w:r>
      <w:r>
        <w:rPr>
          <w:rFonts w:hint="eastAsia"/>
        </w:rPr>
        <w:t xml:space="preserve">  基站流量模式的应用研究</w:t>
      </w:r>
      <w:bookmarkEnd w:id="232"/>
    </w:p>
    <w:p>
      <w:pPr>
        <w:ind w:firstLine="480"/>
      </w:pPr>
      <w:r>
        <w:t>本小节着重讨论基站流量模式的多方面应用。前文得到了六种基站流量模式，我们对各类型在时间上的特殊变化结合该市特点、国内节日等做出了解释，也分析了各模式的空间分布特点。基于所有观察和测量，我们将从应用角度分析基站流量模式特点，并给出其应用场景。</w:t>
      </w:r>
    </w:p>
    <w:p>
      <w:pPr>
        <w:pStyle w:val="37"/>
      </w:pPr>
      <w:bookmarkStart w:id="233" w:name="_Toc7858037"/>
      <w:r>
        <w:rPr>
          <w:rFonts w:hint="eastAsia"/>
        </w:rPr>
        <w:t>5.</w:t>
      </w:r>
      <w:r>
        <w:t>5</w:t>
      </w:r>
      <w:r>
        <w:rPr>
          <w:rFonts w:hint="eastAsia"/>
        </w:rPr>
        <w:t>.1  基站流量模式互补特性</w:t>
      </w:r>
      <w:bookmarkEnd w:id="233"/>
    </w:p>
    <w:p>
      <w:pPr>
        <w:ind w:firstLine="480"/>
      </w:pPr>
      <w:r>
        <w:t>我们观察各基站流量模式波形时，发现不同模式间有波形互补现象。例如在同一月份，部分基站流量蹿升，另外部分基站流量下降，同时在次月，原本流量蹿升的基站流量迅速下跌，之前流量下降的基站又在该月份流量回升。我们设想这些基站出现在同一个子网中，那么在该子网的月度总流量不会在某月出现极高峰，将缓解基础设施带来压力，优化用户上网体验。同时，互补基站间的资源配置也将节约网络运营商的开支。</w:t>
      </w:r>
    </w:p>
    <w:p>
      <w:pPr>
        <w:ind w:firstLine="480"/>
      </w:pPr>
      <w:r>
        <w:drawing>
          <wp:anchor distT="0" distB="0" distL="114300" distR="114300" simplePos="0" relativeHeight="251651072" behindDoc="0" locked="0" layoutInCell="1" allowOverlap="1">
            <wp:simplePos x="0" y="0"/>
            <wp:positionH relativeFrom="margin">
              <wp:posOffset>793750</wp:posOffset>
            </wp:positionH>
            <wp:positionV relativeFrom="paragraph">
              <wp:posOffset>570865</wp:posOffset>
            </wp:positionV>
            <wp:extent cx="4154805" cy="1856740"/>
            <wp:effectExtent l="0" t="0" r="0" b="0"/>
            <wp:wrapTopAndBottom/>
            <wp:docPr id="7" name="图片 7" descr="C:\Users\su\Desktop\使用版本\图片\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su\Desktop\使用版本\图片\5-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4154805" cy="1856740"/>
                    </a:xfrm>
                    <a:prstGeom prst="rect">
                      <a:avLst/>
                    </a:prstGeom>
                    <a:noFill/>
                    <a:ln>
                      <a:noFill/>
                    </a:ln>
                  </pic:spPr>
                </pic:pic>
              </a:graphicData>
            </a:graphic>
          </wp:anchor>
        </w:drawing>
      </w:r>
      <w:r>
        <w:t>在我们获得的六类模式中有两对（四种）较为互补的模式，分别是：春节流量型与双十一流量型，7月下滑流量型与9月下滑流量型</w:t>
      </w:r>
      <w:r>
        <w:rPr>
          <w:rFonts w:hint="eastAsia"/>
        </w:rPr>
        <w:t>，如图5-6所示。</w:t>
      </w:r>
    </w:p>
    <w:p>
      <w:pPr>
        <w:spacing w:before="156" w:beforeLines="50" w:line="240" w:lineRule="auto"/>
        <w:ind w:firstLine="420"/>
        <w:jc w:val="center"/>
        <w:rPr>
          <w:sz w:val="21"/>
          <w:szCs w:val="21"/>
        </w:rPr>
      </w:pPr>
      <w:r>
        <w:rPr>
          <w:sz w:val="21"/>
          <w:szCs w:val="21"/>
        </w:rPr>
        <w:t>图</w:t>
      </w:r>
      <w:r>
        <w:rPr>
          <w:rFonts w:hint="eastAsia"/>
          <w:sz w:val="21"/>
          <w:szCs w:val="21"/>
        </w:rPr>
        <w:t>5</w:t>
      </w:r>
      <w:r>
        <w:rPr>
          <w:sz w:val="21"/>
          <w:szCs w:val="21"/>
        </w:rPr>
        <w:t>-</w:t>
      </w:r>
      <w:r>
        <w:rPr>
          <w:rFonts w:hint="eastAsia"/>
          <w:sz w:val="21"/>
          <w:szCs w:val="21"/>
        </w:rPr>
        <w:t xml:space="preserve">6 </w:t>
      </w:r>
      <w:r>
        <w:rPr>
          <w:sz w:val="21"/>
          <w:szCs w:val="21"/>
        </w:rPr>
        <w:t>两对较为互补的模式</w:t>
      </w:r>
    </w:p>
    <w:p>
      <w:pPr>
        <w:spacing w:after="156" w:afterLines="50" w:line="240" w:lineRule="auto"/>
        <w:ind w:firstLine="420"/>
        <w:jc w:val="center"/>
        <w:rPr>
          <w:sz w:val="21"/>
          <w:szCs w:val="21"/>
        </w:rPr>
      </w:pPr>
      <w:r>
        <w:rPr>
          <w:sz w:val="21"/>
          <w:szCs w:val="21"/>
        </w:rPr>
        <w:t xml:space="preserve">Figure </w:t>
      </w:r>
      <w:r>
        <w:rPr>
          <w:rFonts w:hint="eastAsia"/>
          <w:sz w:val="21"/>
          <w:szCs w:val="21"/>
        </w:rPr>
        <w:t>5</w:t>
      </w:r>
      <w:r>
        <w:rPr>
          <w:sz w:val="21"/>
          <w:szCs w:val="21"/>
        </w:rPr>
        <w:t>-</w:t>
      </w:r>
      <w:r>
        <w:rPr>
          <w:rFonts w:hint="eastAsia"/>
          <w:sz w:val="21"/>
          <w:szCs w:val="21"/>
        </w:rPr>
        <w:t>6 Two Pairs of More Complementary Modes</w:t>
      </w:r>
    </w:p>
    <w:p>
      <w:pPr>
        <w:ind w:firstLine="480"/>
      </w:pPr>
      <w:r>
        <w:rPr>
          <w:rFonts w:hint="eastAsia"/>
        </w:rPr>
        <w:t>在图5-6中，(</w:t>
      </w:r>
      <w:r>
        <w:t>a)图</w:t>
      </w:r>
      <w:r>
        <w:rPr>
          <w:rFonts w:hint="eastAsia"/>
        </w:rPr>
        <w:t>为</w:t>
      </w:r>
      <w:r>
        <w:t>双十一流量型站在11月份、次年2月、次年3月呈现出的流量变化是“涨-跌-涨”，而同期春节流量型的流量变化时“跌-涨-跌”，所以在如上月份内流量可以互补；在</w:t>
      </w:r>
      <w:r>
        <w:rPr>
          <w:rFonts w:hint="eastAsia"/>
        </w:rPr>
        <w:t>(</w:t>
      </w:r>
      <w:r>
        <w:t>b)图中，7月下滑流量型站在7月、9月呈现出的流量变化是“跌-涨”，而同期9月下滑流量型的流量变化时“涨-跌”，所以在如上月份内流量可以互补。流量类型互补的意义在于：首先如果将具有类型互补的基站放在同一子网中，则该子网不会出现子网总流量在某一个月份出现极高的现象，这也是流量互补本身的特性；其次在于资源的动态调节，对基站的布局建设有重要意义，因为之间相互影响的，某个基站为了应对流量高峰把单一频段设置成多频段，为了减少干扰就需要低流量基站减少辐射频段。</w:t>
      </w:r>
      <w:bookmarkStart w:id="234" w:name="_Toc6796436"/>
      <w:bookmarkEnd w:id="234"/>
      <w:bookmarkStart w:id="235" w:name="_Toc6796435"/>
      <w:bookmarkEnd w:id="235"/>
    </w:p>
    <w:p>
      <w:pPr>
        <w:pStyle w:val="37"/>
      </w:pPr>
      <w:bookmarkStart w:id="236" w:name="_Toc7858038"/>
      <w:r>
        <w:rPr>
          <w:rFonts w:hint="eastAsia"/>
        </w:rPr>
        <w:t>5.</w:t>
      </w:r>
      <w:r>
        <w:t>5</w:t>
      </w:r>
      <w:r>
        <w:rPr>
          <w:rFonts w:hint="eastAsia"/>
        </w:rPr>
        <w:t>.2  基站流量模式其他应用</w:t>
      </w:r>
      <w:bookmarkEnd w:id="236"/>
    </w:p>
    <w:p>
      <w:pPr>
        <w:ind w:firstLine="480"/>
      </w:pPr>
      <w:r>
        <w:t>该小节我们将讨论互补基站流量模式两种互补状态，即“邻接式”互补、“非邻接式”互补。它们的区别为是否直接相邻。</w:t>
      </w:r>
    </w:p>
    <w:p>
      <w:pPr>
        <w:ind w:firstLine="480"/>
      </w:pPr>
      <w:r>
        <w:t>对于“邻接式”配对的基站：首先在核心网的拓扑中，应当把可配对基站放入在同一个子网中，这样有助于对配对基站的频谱资源的互补利用，功耗上互补调节等。具体的表现为，基站可以在流量低谷时，将频谱资源让给可配对的高流量基站，同时降低自己的功耗，以此缩小基站辐射范围和减少对配对基站的干扰。</w:t>
      </w:r>
    </w:p>
    <w:p>
      <w:pPr>
        <w:ind w:firstLine="480"/>
      </w:pPr>
      <w:r>
        <w:t>对于“非接触式”配对的基站，为了实现资源合理调度可以借助其他设备，例如无人机、临时基站车等，实现远距离资源调度。</w:t>
      </w:r>
    </w:p>
    <w:p>
      <w:pPr>
        <w:pStyle w:val="40"/>
      </w:pPr>
      <w:bookmarkStart w:id="237" w:name="_Toc503296674"/>
      <w:bookmarkEnd w:id="237"/>
      <w:bookmarkStart w:id="238" w:name="_Toc503120251"/>
      <w:bookmarkEnd w:id="238"/>
      <w:bookmarkStart w:id="239" w:name="_Toc507493740"/>
      <w:bookmarkEnd w:id="239"/>
      <w:bookmarkStart w:id="240" w:name="_Toc7858039"/>
      <w:bookmarkStart w:id="241" w:name="_Toc507493741"/>
      <w:bookmarkStart w:id="242" w:name="_Toc6320130"/>
      <w:bookmarkStart w:id="243" w:name="_Toc503120252"/>
      <w:bookmarkStart w:id="244" w:name="_Toc503296675"/>
      <w:r>
        <w:rPr>
          <w:rFonts w:hint="eastAsia"/>
        </w:rPr>
        <w:t>5.</w:t>
      </w:r>
      <w:r>
        <w:t>6</w:t>
      </w:r>
      <w:r>
        <w:rPr>
          <w:rFonts w:hint="eastAsia"/>
        </w:rPr>
        <w:t xml:space="preserve">  本章小结</w:t>
      </w:r>
      <w:bookmarkEnd w:id="240"/>
    </w:p>
    <w:p>
      <w:pPr>
        <w:ind w:firstLine="480"/>
      </w:pPr>
      <w:r>
        <w:t>本章主要工作是，基于7110个真实基站数据和第四章的Rank-Based聚类方法的帮助下，对新建基站的流量模式进行预测。我们选取了两个典型的新建基站特征：地理位置特征（经纬度）、语义信息特征（宫格名称），分析评估其作为预测基站流量模式特征的能力，最后对基站流量模式进行预测。具体工作如下：</w:t>
      </w:r>
    </w:p>
    <w:p>
      <w:pPr>
        <w:ind w:firstLine="480"/>
      </w:pPr>
      <w:r>
        <w:rPr>
          <w:rFonts w:hint="eastAsia"/>
        </w:rPr>
        <w:t>(</w:t>
      </w:r>
      <w:r>
        <w:t>1) 模式地理位置分布：我们首先可视化了六类基站流量模式在地理上的分布情况，发现春节流量型特点是主要分布郊区，其他类型密集混杂在市中心区域，分布特点：有集群现象，但单个集群规模不大，整个集群数目众多。</w:t>
      </w:r>
    </w:p>
    <w:p>
      <w:pPr>
        <w:ind w:firstLine="480"/>
      </w:pPr>
      <w:r>
        <w:t>(2) 地址单词与流量模式关系：我们从宫格名称特征的分词入手，通过去除停用词、统计词频分布、过滤低频词到最终由单个单词组建基站的词向量表征。期间我们解释了词向量的创建方法以及引入信息熵、词向量聚类等方式来说明词向量具有一定的模式区分性。最后我们对基站词向量的向量表征给出了两种构成方式：相加、平均。</w:t>
      </w:r>
    </w:p>
    <w:p>
      <w:pPr>
        <w:ind w:firstLine="480"/>
      </w:pPr>
      <w:r>
        <w:rPr>
          <w:rFonts w:hint="eastAsia"/>
        </w:rPr>
        <w:t>(</w:t>
      </w:r>
      <w:r>
        <w:t>3) 通过大量的实验和机器学习模型的调试。我们发现基站词向量表征能够明显提升LR线性模型的性能，同时我们将两种特征组合送入模型中，性能都在单个加入时候有所提升，“经纬度+基站词向量表征（Average）”的特征组合在XGBoost上F1-score为35%比仅仅加入“经纬度”特征提升了5%，提升16.6%；在LR上的F1-score为35%比仅仅加入“经纬度”特征提升了20%，提升133%。实验结果表明我们的基站词向量表征方法有显著的效果。</w:t>
      </w:r>
    </w:p>
    <w:p>
      <w:pPr>
        <w:ind w:firstLine="480"/>
      </w:pPr>
      <w:r>
        <w:rPr>
          <w:rFonts w:hint="eastAsia"/>
        </w:rPr>
        <w:t>(</w:t>
      </w:r>
      <w:r>
        <w:t>4) 我们发现六类流量模式中有两对（四种）较为互补的模式，分别是：春节流量型与双十一流量型，7月下滑流量型与9月下滑流量型。同时我们对互补流量模式是否处于相邻状态分别做出了其应用场景的讨论</w:t>
      </w:r>
    </w:p>
    <w:p>
      <w:pPr>
        <w:ind w:firstLineChars="0"/>
        <w:sectPr>
          <w:headerReference r:id="rId21" w:type="default"/>
          <w:pgSz w:w="11906" w:h="16838"/>
          <w:pgMar w:top="1701" w:right="1418" w:bottom="1418" w:left="1418" w:header="907" w:footer="851" w:gutter="0"/>
          <w:cols w:space="720" w:num="1"/>
          <w:formProt w:val="0"/>
          <w:docGrid w:type="lines" w:linePitch="312" w:charSpace="0"/>
        </w:sectPr>
      </w:pPr>
    </w:p>
    <w:p>
      <w:pPr>
        <w:pStyle w:val="41"/>
        <w:rPr>
          <w:szCs w:val="32"/>
        </w:rPr>
      </w:pPr>
      <w:bookmarkStart w:id="245" w:name="_Toc7858040"/>
      <w:r>
        <w:rPr>
          <w:rFonts w:hint="eastAsia"/>
          <w:szCs w:val="32"/>
        </w:rPr>
        <w:t>6  总结及展望</w:t>
      </w:r>
      <w:bookmarkEnd w:id="241"/>
      <w:bookmarkEnd w:id="242"/>
      <w:bookmarkEnd w:id="243"/>
      <w:bookmarkEnd w:id="244"/>
      <w:bookmarkEnd w:id="245"/>
    </w:p>
    <w:p>
      <w:pPr>
        <w:pStyle w:val="40"/>
      </w:pPr>
      <w:bookmarkStart w:id="246" w:name="_Toc7858041"/>
      <w:bookmarkStart w:id="247" w:name="_Toc6320131"/>
      <w:bookmarkStart w:id="248" w:name="_Toc507493742"/>
      <w:bookmarkStart w:id="249" w:name="_Toc503296676"/>
      <w:bookmarkStart w:id="250" w:name="_Toc503120253"/>
      <w:r>
        <w:rPr>
          <w:rFonts w:hint="eastAsia"/>
        </w:rPr>
        <w:t>6.1  本文工作总结</w:t>
      </w:r>
      <w:bookmarkEnd w:id="246"/>
      <w:bookmarkEnd w:id="247"/>
      <w:bookmarkEnd w:id="248"/>
      <w:bookmarkEnd w:id="249"/>
      <w:bookmarkEnd w:id="250"/>
    </w:p>
    <w:p>
      <w:pPr>
        <w:ind w:firstLine="480"/>
      </w:pPr>
      <w:r>
        <w:t>本文基于国内某运营商在某电商城市部署的超过7000个基站，跨度近一年的月度流量数据进行了：基站流量时空分布测量和分析、基站流量模式挖掘、新建基站的流量模式预测。我们发明了一种新的流量模式挖掘方法，它是基于月度总流量值在一年内排序值的多级聚类方法。基于真实数据，我们得到6种基站流量模式类型，其中最典型的流量模式占比38.6%。另外有两种很有特色：一种具有很强的地域特点与“春节返乡”密切相关；一种具有很强的用户属性，和“双11”电商购物密切相关。预测新建基站流量模式初始信息往往较少，我们创造性地将基站语义标签信息引入基站流量模式预测中，改进了基站流量模式预测的准确性。本文主要工作如下：</w:t>
      </w:r>
    </w:p>
    <w:p>
      <w:pPr>
        <w:ind w:firstLine="480"/>
      </w:pPr>
      <w:bookmarkStart w:id="251" w:name="_Toc6320132"/>
      <w:bookmarkStart w:id="252" w:name="_Toc503120256"/>
      <w:bookmarkStart w:id="253" w:name="_Toc503296679"/>
      <w:bookmarkStart w:id="254" w:name="_Toc507493745"/>
      <w:r>
        <w:t>(</w:t>
      </w:r>
      <w:r>
        <w:rPr>
          <w:rFonts w:hint="eastAsia"/>
        </w:rPr>
        <w:t>1</w:t>
      </w:r>
      <w:r>
        <w:t xml:space="preserve">) </w:t>
      </w:r>
      <w:r>
        <w:rPr>
          <w:rFonts w:hint="eastAsia"/>
        </w:rPr>
        <w:t>统计分析了该城市基站流量数据的时空分布。在空间上，我们发现</w:t>
      </w:r>
      <w:r>
        <w:t>全市范围基站流量和流量密度分布不均衡，</w:t>
      </w:r>
      <w:r>
        <w:rPr>
          <w:rFonts w:hint="eastAsia"/>
        </w:rPr>
        <w:t>市中心和非市中心流量差异明显；在时间上，我们总结了</w:t>
      </w:r>
      <w:r>
        <w:t>基站流量</w:t>
      </w:r>
      <w:r>
        <w:rPr>
          <w:rFonts w:hint="eastAsia"/>
        </w:rPr>
        <w:t>总体</w:t>
      </w:r>
      <w:r>
        <w:t>增长模式</w:t>
      </w:r>
      <w:r>
        <w:rPr>
          <w:rFonts w:hint="eastAsia"/>
        </w:rPr>
        <w:t>的</w:t>
      </w:r>
      <w:r>
        <w:t>特点是</w:t>
      </w:r>
      <w:r>
        <w:rPr>
          <w:rFonts w:hint="eastAsia"/>
        </w:rPr>
        <w:t>：</w:t>
      </w:r>
      <w:r>
        <w:t>基站流量总体呈上升趋势，</w:t>
      </w:r>
      <w:r>
        <w:rPr>
          <w:rFonts w:hint="eastAsia"/>
        </w:rPr>
        <w:t>各基站</w:t>
      </w:r>
      <w:r>
        <w:t>在关键</w:t>
      </w:r>
      <w:r>
        <w:rPr>
          <w:rFonts w:hint="eastAsia"/>
        </w:rPr>
        <w:t>时间节点（1</w:t>
      </w:r>
      <w:r>
        <w:t>1</w:t>
      </w:r>
      <w:r>
        <w:rPr>
          <w:rFonts w:hint="eastAsia"/>
        </w:rPr>
        <w:t>月、次年2月）的变化有所不同。现象促使我们进基站流量模式挖掘。</w:t>
      </w:r>
    </w:p>
    <w:p>
      <w:pPr>
        <w:ind w:firstLine="480"/>
        <w:rPr>
          <w:color w:val="000000"/>
          <w:szCs w:val="21"/>
        </w:rPr>
      </w:pPr>
      <w:r>
        <w:rPr>
          <w:rFonts w:hint="eastAsia"/>
          <w:color w:val="000000"/>
          <w:szCs w:val="21"/>
        </w:rPr>
        <w:t>(</w:t>
      </w:r>
      <w:r>
        <w:rPr>
          <w:color w:val="000000"/>
          <w:szCs w:val="21"/>
        </w:rPr>
        <w:t xml:space="preserve">2) </w:t>
      </w:r>
      <w:r>
        <w:rPr>
          <w:rFonts w:hint="eastAsia"/>
          <w:color w:val="000000"/>
          <w:szCs w:val="21"/>
        </w:rPr>
        <w:t>提出</w:t>
      </w:r>
      <w:r>
        <w:rPr>
          <w:color w:val="000000"/>
          <w:szCs w:val="21"/>
        </w:rPr>
        <w:t>了一种新的</w:t>
      </w:r>
      <w:r>
        <w:rPr>
          <w:rFonts w:hint="eastAsia"/>
          <w:color w:val="000000"/>
          <w:szCs w:val="21"/>
        </w:rPr>
        <w:t>基站流</w:t>
      </w:r>
      <w:r>
        <w:rPr>
          <w:color w:val="000000"/>
          <w:szCs w:val="21"/>
        </w:rPr>
        <w:t>量</w:t>
      </w:r>
      <w:r>
        <w:rPr>
          <w:rFonts w:hint="eastAsia"/>
          <w:color w:val="000000"/>
          <w:szCs w:val="21"/>
        </w:rPr>
        <w:t>演变</w:t>
      </w:r>
      <w:r>
        <w:rPr>
          <w:color w:val="000000"/>
          <w:szCs w:val="21"/>
        </w:rPr>
        <w:t>模式</w:t>
      </w:r>
      <w:r>
        <w:rPr>
          <w:rFonts w:hint="eastAsia"/>
          <w:color w:val="000000"/>
          <w:szCs w:val="21"/>
        </w:rPr>
        <w:t>的聚类方法。该方法</w:t>
      </w:r>
      <w:r>
        <w:rPr>
          <w:color w:val="000000"/>
          <w:szCs w:val="21"/>
        </w:rPr>
        <w:t>基于</w:t>
      </w:r>
      <w:r>
        <w:rPr>
          <w:rFonts w:hint="eastAsia"/>
          <w:color w:val="000000"/>
          <w:szCs w:val="21"/>
        </w:rPr>
        <w:t>基站</w:t>
      </w:r>
      <w:r>
        <w:rPr>
          <w:color w:val="000000"/>
          <w:szCs w:val="21"/>
        </w:rPr>
        <w:t>月度总流量值在一年内</w:t>
      </w:r>
      <w:r>
        <w:rPr>
          <w:rFonts w:hint="eastAsia"/>
          <w:color w:val="000000"/>
          <w:szCs w:val="21"/>
        </w:rPr>
        <w:t>的</w:t>
      </w:r>
      <w:r>
        <w:rPr>
          <w:color w:val="000000"/>
          <w:szCs w:val="21"/>
        </w:rPr>
        <w:t>排序</w:t>
      </w:r>
      <w:r>
        <w:rPr>
          <w:rFonts w:hint="eastAsia"/>
          <w:color w:val="000000"/>
          <w:szCs w:val="21"/>
        </w:rPr>
        <w:t>序列进行</w:t>
      </w:r>
      <w:r>
        <w:rPr>
          <w:color w:val="000000"/>
          <w:szCs w:val="21"/>
        </w:rPr>
        <w:t>聚类</w:t>
      </w:r>
      <w:r>
        <w:rPr>
          <w:rFonts w:hint="eastAsia"/>
          <w:color w:val="000000"/>
          <w:szCs w:val="21"/>
        </w:rPr>
        <w:t>。在我们数据集上的分析结果表明：该</w:t>
      </w:r>
      <w:r>
        <w:rPr>
          <w:color w:val="000000"/>
          <w:szCs w:val="21"/>
        </w:rPr>
        <w:t>聚类方式</w:t>
      </w:r>
      <w:r>
        <w:rPr>
          <w:rFonts w:hint="eastAsia"/>
          <w:color w:val="000000"/>
          <w:szCs w:val="21"/>
        </w:rPr>
        <w:t>对</w:t>
      </w:r>
      <w:r>
        <w:rPr>
          <w:color w:val="000000"/>
          <w:szCs w:val="21"/>
        </w:rPr>
        <w:t>较短时间序列（不存在周期性）的</w:t>
      </w:r>
      <w:r>
        <w:rPr>
          <w:rFonts w:hint="eastAsia"/>
          <w:color w:val="000000"/>
          <w:szCs w:val="21"/>
        </w:rPr>
        <w:t>涨跌特点</w:t>
      </w:r>
      <w:r>
        <w:rPr>
          <w:color w:val="000000"/>
          <w:szCs w:val="21"/>
        </w:rPr>
        <w:t>有很好的描述</w:t>
      </w:r>
      <w:r>
        <w:rPr>
          <w:rFonts w:hint="eastAsia"/>
          <w:color w:val="000000"/>
          <w:szCs w:val="21"/>
        </w:rPr>
        <w:t>，能够得到比传统聚类方法更容易理解的结果。</w:t>
      </w:r>
    </w:p>
    <w:p>
      <w:pPr>
        <w:ind w:firstLine="480"/>
      </w:pPr>
      <w:r>
        <w:t xml:space="preserve">(3) </w:t>
      </w:r>
      <w:r>
        <w:rPr>
          <w:rFonts w:hint="eastAsia"/>
          <w:color w:val="000000"/>
          <w:szCs w:val="21"/>
        </w:rPr>
        <w:t>基于提出的聚类方法，我们对运营商的7千多个基站的流量演变模式进行了大规模聚类分析，获得了</w:t>
      </w:r>
      <w:r>
        <w:rPr>
          <w:color w:val="000000"/>
          <w:szCs w:val="21"/>
        </w:rPr>
        <w:t>6种</w:t>
      </w:r>
      <w:r>
        <w:rPr>
          <w:rFonts w:hint="eastAsia"/>
          <w:color w:val="000000"/>
          <w:szCs w:val="21"/>
        </w:rPr>
        <w:t>典型的基站</w:t>
      </w:r>
      <w:r>
        <w:rPr>
          <w:color w:val="000000"/>
          <w:szCs w:val="21"/>
        </w:rPr>
        <w:t>流量</w:t>
      </w:r>
      <w:r>
        <w:rPr>
          <w:rFonts w:hint="eastAsia"/>
          <w:color w:val="000000"/>
          <w:szCs w:val="21"/>
        </w:rPr>
        <w:t>演变</w:t>
      </w:r>
      <w:r>
        <w:rPr>
          <w:color w:val="000000"/>
          <w:szCs w:val="21"/>
        </w:rPr>
        <w:t>模式，最</w:t>
      </w:r>
      <w:r>
        <w:rPr>
          <w:rFonts w:hint="eastAsia"/>
          <w:color w:val="000000"/>
          <w:szCs w:val="21"/>
        </w:rPr>
        <w:t>主要</w:t>
      </w:r>
      <w:r>
        <w:rPr>
          <w:color w:val="000000"/>
          <w:szCs w:val="21"/>
        </w:rPr>
        <w:t>的</w:t>
      </w:r>
      <w:r>
        <w:rPr>
          <w:rFonts w:hint="eastAsia"/>
          <w:color w:val="000000"/>
          <w:szCs w:val="21"/>
        </w:rPr>
        <w:t>一种</w:t>
      </w:r>
      <w:r>
        <w:rPr>
          <w:color w:val="000000"/>
          <w:szCs w:val="21"/>
        </w:rPr>
        <w:t>流量模式</w:t>
      </w:r>
      <w:r>
        <w:rPr>
          <w:rFonts w:hint="eastAsia"/>
          <w:color w:val="000000"/>
          <w:szCs w:val="21"/>
        </w:rPr>
        <w:t>涵盖了</w:t>
      </w:r>
      <w:r>
        <w:rPr>
          <w:color w:val="000000"/>
          <w:szCs w:val="21"/>
        </w:rPr>
        <w:t>38.6%</w:t>
      </w:r>
      <w:r>
        <w:rPr>
          <w:rFonts w:hint="eastAsia"/>
          <w:color w:val="000000"/>
          <w:szCs w:val="21"/>
        </w:rPr>
        <w:t>的基站，特点为总体流量呈上升趋势，期间11月份流量由高峰直转为次年2月的流量低谷。其它还包括：</w:t>
      </w:r>
      <w:r>
        <w:rPr>
          <w:color w:val="000000"/>
          <w:szCs w:val="21"/>
        </w:rPr>
        <w:t>“春节返乡”</w:t>
      </w:r>
      <w:r>
        <w:rPr>
          <w:rFonts w:hint="eastAsia"/>
          <w:color w:val="000000"/>
          <w:szCs w:val="21"/>
        </w:rPr>
        <w:t>、</w:t>
      </w:r>
      <w:r>
        <w:rPr>
          <w:color w:val="000000"/>
          <w:szCs w:val="21"/>
        </w:rPr>
        <w:t xml:space="preserve"> “双11”电商购物</w:t>
      </w:r>
      <w:r>
        <w:rPr>
          <w:rFonts w:hint="eastAsia"/>
          <w:color w:val="000000"/>
          <w:szCs w:val="21"/>
        </w:rPr>
        <w:t>模式等</w:t>
      </w:r>
      <w:r>
        <w:rPr>
          <w:color w:val="000000"/>
          <w:szCs w:val="21"/>
        </w:rPr>
        <w:t>。</w:t>
      </w:r>
      <w:r>
        <w:rPr>
          <w:rFonts w:hint="eastAsia"/>
          <w:color w:val="000000"/>
          <w:szCs w:val="21"/>
        </w:rPr>
        <w:t>结合城市特点，我们对所有模式的特点与形成原因做出了解释，这些发现为运营商理解其基站的流量演变情况提供了有益的信息。</w:t>
      </w:r>
    </w:p>
    <w:p>
      <w:pPr>
        <w:ind w:firstLine="480"/>
      </w:pPr>
      <w:r>
        <w:t xml:space="preserve">(4) </w:t>
      </w:r>
      <w:r>
        <w:rPr>
          <w:rFonts w:hint="eastAsia"/>
        </w:rPr>
        <w:t>提出了一种基于地理位置和基站地址语义信息的基站模式预测方法，能够对一个</w:t>
      </w:r>
      <w:r>
        <w:t>新建基站</w:t>
      </w:r>
      <w:r>
        <w:rPr>
          <w:rFonts w:hint="eastAsia"/>
        </w:rPr>
        <w:t>的</w:t>
      </w:r>
      <w:r>
        <w:t>流量模式</w:t>
      </w:r>
      <w:r>
        <w:rPr>
          <w:rFonts w:hint="eastAsia"/>
        </w:rPr>
        <w:t>进行预测。因为应该新建基站的初</w:t>
      </w:r>
      <w:r>
        <w:t>始信息往往较少，</w:t>
      </w:r>
      <w:r>
        <w:rPr>
          <w:rFonts w:hint="eastAsia"/>
        </w:rPr>
        <w:t>因此</w:t>
      </w:r>
      <w:r>
        <w:t>我们创造性地将基站语义标签信息引入基站流量模式预测中，改进了基站流量模式预测的准确性。实验结果表明：基站词向量表征能够明显提升LR线性模型的性能，同时我们将两种特征组合送入模型中，性能都比单个特征有所提升，“经纬度+基站词向量表征（Average）”的特征组合在XGBoos</w:t>
      </w:r>
      <w:r>
        <w:rPr>
          <w:rFonts w:hint="eastAsia"/>
        </w:rPr>
        <w:t>t</w:t>
      </w:r>
      <w:r>
        <w:t>上F1-score为35%比仅仅加入“经纬度”特征</w:t>
      </w:r>
      <w:r>
        <w:rPr>
          <w:rFonts w:hint="eastAsia"/>
        </w:rPr>
        <w:t>高出</w:t>
      </w:r>
      <w:r>
        <w:t>5%，</w:t>
      </w:r>
      <w:r>
        <w:rPr>
          <w:rFonts w:hint="eastAsia"/>
        </w:rPr>
        <w:t>提升</w:t>
      </w:r>
      <w:r>
        <w:t>(0.35-0.3)/0.3=16.6%；在LR上的F1-score为35%比仅仅加入“经纬度”特征</w:t>
      </w:r>
      <w:r>
        <w:rPr>
          <w:rFonts w:hint="eastAsia"/>
        </w:rPr>
        <w:t>高出20%，</w:t>
      </w:r>
      <w:r>
        <w:t>提升(0.35-0.15)/0.15=1</w:t>
      </w:r>
      <w:r>
        <w:rPr>
          <w:rFonts w:hint="eastAsia"/>
        </w:rPr>
        <w:t>33</w:t>
      </w:r>
      <w:r>
        <w:t>%</w:t>
      </w:r>
      <w:r>
        <w:rPr>
          <w:rFonts w:hint="eastAsia"/>
        </w:rPr>
        <w:t>，其中对“主模板流量型”和“春节流量型”的预测较为准确。</w:t>
      </w:r>
    </w:p>
    <w:p>
      <w:pPr>
        <w:pStyle w:val="40"/>
      </w:pPr>
      <w:bookmarkStart w:id="255" w:name="_Toc7858042"/>
      <w:r>
        <w:rPr>
          <w:rFonts w:hint="eastAsia"/>
        </w:rPr>
        <w:t>6.2  未来工作展望</w:t>
      </w:r>
      <w:bookmarkEnd w:id="251"/>
      <w:bookmarkEnd w:id="252"/>
      <w:bookmarkEnd w:id="253"/>
      <w:bookmarkEnd w:id="254"/>
      <w:bookmarkEnd w:id="255"/>
    </w:p>
    <w:p>
      <w:pPr>
        <w:ind w:firstLine="480"/>
      </w:pPr>
      <w:r>
        <w:t>随着5G技术商业普及，越来越多新建基站需要对其自身的流量模式进行充分了解，同时也需要针对流量模式特点做出适应性变化。对基站网络流量的模式挖掘只是第一步，如何根据模式特点智能调度基站资源是亟需解决的问题。目前已经有部分工作在对实现实时基站资源智能分配问题做出研究，但是真正的实现与普及仍有一段路要走。相信随着更多移动终端设备的网络互联，基站性能更加提升，数据将会更密集的被采集来分析研究，为实现智能基站的建设做好铺垫工作。</w:t>
      </w:r>
    </w:p>
    <w:p>
      <w:pPr>
        <w:ind w:firstLine="480"/>
      </w:pPr>
    </w:p>
    <w:p>
      <w:pPr>
        <w:ind w:firstLine="480"/>
        <w:sectPr>
          <w:headerReference r:id="rId22" w:type="default"/>
          <w:pgSz w:w="11906" w:h="16838"/>
          <w:pgMar w:top="1701" w:right="1418" w:bottom="1418" w:left="1418" w:header="907" w:footer="851" w:gutter="0"/>
          <w:cols w:space="720" w:num="1"/>
          <w:formProt w:val="0"/>
          <w:docGrid w:type="lines" w:linePitch="312" w:charSpace="0"/>
        </w:sectPr>
      </w:pPr>
    </w:p>
    <w:p>
      <w:pPr>
        <w:pStyle w:val="42"/>
        <w:ind w:firstLine="480"/>
      </w:pPr>
      <w:bookmarkStart w:id="256" w:name="_Toc6320133"/>
      <w:bookmarkStart w:id="257" w:name="_Toc7858043"/>
      <w:bookmarkStart w:id="258" w:name="_Toc507493746"/>
      <w:r>
        <w:t>参考文献</w:t>
      </w:r>
      <w:bookmarkEnd w:id="256"/>
      <w:bookmarkEnd w:id="257"/>
      <w:bookmarkEnd w:id="258"/>
    </w:p>
    <w:p>
      <w:pPr>
        <w:spacing w:line="320" w:lineRule="exact"/>
        <w:ind w:firstLine="0" w:firstLineChars="0"/>
        <w:rPr>
          <w:sz w:val="21"/>
          <w:szCs w:val="21"/>
        </w:rPr>
      </w:pPr>
      <w:bookmarkStart w:id="259" w:name="BIB__bib"/>
      <w:r>
        <w:rPr>
          <w:sz w:val="21"/>
          <w:szCs w:val="21"/>
        </w:rPr>
        <w:t>[</w:t>
      </w:r>
      <w:bookmarkStart w:id="260" w:name="BIB_hofer2018impact"/>
      <w:r>
        <w:rPr>
          <w:sz w:val="21"/>
          <w:szCs w:val="21"/>
        </w:rPr>
        <w:t>1</w:t>
      </w:r>
      <w:bookmarkEnd w:id="260"/>
      <w:bookmarkStart w:id="261" w:name="B4B_hofer2018impact"/>
      <w:bookmarkEnd w:id="261"/>
      <w:r>
        <w:rPr>
          <w:sz w:val="21"/>
          <w:szCs w:val="21"/>
        </w:rPr>
        <w:t>]</w:t>
      </w:r>
      <w:r>
        <w:rPr>
          <w:sz w:val="21"/>
          <w:szCs w:val="21"/>
        </w:rPr>
        <w:tab/>
      </w:r>
      <w:r>
        <w:rPr>
          <w:sz w:val="21"/>
          <w:szCs w:val="21"/>
        </w:rPr>
        <w:t>Hofer J, Pawaskar S. Impact of the Application Layer Protocol on Energy Consumption, 4G Utilization and Performance[C]//2018 3rd Cloudification of the Internet of Things (CIoT) , 2018:1–7.</w:t>
      </w:r>
    </w:p>
    <w:p>
      <w:pPr>
        <w:spacing w:line="320" w:lineRule="exact"/>
        <w:ind w:firstLine="0" w:firstLineChars="0"/>
        <w:rPr>
          <w:sz w:val="21"/>
          <w:szCs w:val="21"/>
        </w:rPr>
      </w:pPr>
      <w:r>
        <w:rPr>
          <w:sz w:val="21"/>
          <w:szCs w:val="21"/>
        </w:rPr>
        <w:t>[</w:t>
      </w:r>
      <w:bookmarkStart w:id="262" w:name="BIB_lee2014spatial"/>
      <w:r>
        <w:rPr>
          <w:sz w:val="21"/>
          <w:szCs w:val="21"/>
        </w:rPr>
        <w:t>2</w:t>
      </w:r>
      <w:bookmarkEnd w:id="262"/>
      <w:bookmarkStart w:id="263" w:name="B4B_lee2014spatial"/>
      <w:bookmarkEnd w:id="263"/>
      <w:r>
        <w:rPr>
          <w:sz w:val="21"/>
          <w:szCs w:val="21"/>
        </w:rPr>
        <w:t>]</w:t>
      </w:r>
      <w:r>
        <w:rPr>
          <w:sz w:val="21"/>
          <w:szCs w:val="21"/>
        </w:rPr>
        <w:tab/>
      </w:r>
      <w:r>
        <w:rPr>
          <w:sz w:val="21"/>
          <w:szCs w:val="21"/>
        </w:rPr>
        <w:t>Lee D, Zhou S, Zhong X, et al. Spatial modeling of the traffic density in cellular networks[J]. IEEE Wireless Communications, 2014, 21(1):80–88.</w:t>
      </w:r>
    </w:p>
    <w:p>
      <w:pPr>
        <w:spacing w:line="320" w:lineRule="exact"/>
        <w:ind w:firstLine="0" w:firstLineChars="0"/>
        <w:rPr>
          <w:sz w:val="21"/>
          <w:szCs w:val="21"/>
        </w:rPr>
      </w:pPr>
      <w:r>
        <w:rPr>
          <w:sz w:val="21"/>
          <w:szCs w:val="21"/>
        </w:rPr>
        <w:t>[</w:t>
      </w:r>
      <w:bookmarkStart w:id="264" w:name="BIB_shafiq2011characterizing"/>
      <w:r>
        <w:rPr>
          <w:sz w:val="21"/>
          <w:szCs w:val="21"/>
        </w:rPr>
        <w:t>3</w:t>
      </w:r>
      <w:bookmarkEnd w:id="264"/>
      <w:bookmarkStart w:id="265" w:name="B4B_shafiq2011characterizing"/>
      <w:bookmarkEnd w:id="265"/>
      <w:r>
        <w:rPr>
          <w:sz w:val="21"/>
          <w:szCs w:val="21"/>
        </w:rPr>
        <w:t>]</w:t>
      </w:r>
      <w:r>
        <w:rPr>
          <w:sz w:val="21"/>
          <w:szCs w:val="21"/>
        </w:rPr>
        <w:tab/>
      </w:r>
      <w:r>
        <w:rPr>
          <w:sz w:val="21"/>
          <w:szCs w:val="21"/>
        </w:rPr>
        <w:t>Shafiq M Z, Ji L, Liu A X, et al. Characterizing and modeling internet traffic dynamics of cellular devices[J].measurement and modeling of computer systems, 2011, 39(1):305–316.</w:t>
      </w:r>
    </w:p>
    <w:p>
      <w:pPr>
        <w:spacing w:line="320" w:lineRule="exact"/>
        <w:ind w:firstLine="0" w:firstLineChars="0"/>
        <w:rPr>
          <w:sz w:val="21"/>
          <w:szCs w:val="21"/>
        </w:rPr>
      </w:pPr>
      <w:r>
        <w:rPr>
          <w:sz w:val="21"/>
          <w:szCs w:val="21"/>
        </w:rPr>
        <w:t>[</w:t>
      </w:r>
      <w:bookmarkStart w:id="266" w:name="BIB_zhang2008traffic"/>
      <w:r>
        <w:rPr>
          <w:sz w:val="21"/>
          <w:szCs w:val="21"/>
        </w:rPr>
        <w:t>4</w:t>
      </w:r>
      <w:bookmarkEnd w:id="266"/>
      <w:bookmarkStart w:id="267" w:name="B4B_zhang2008traffic"/>
      <w:bookmarkEnd w:id="267"/>
      <w:r>
        <w:rPr>
          <w:sz w:val="21"/>
          <w:szCs w:val="21"/>
        </w:rPr>
        <w:t>]</w:t>
      </w:r>
      <w:r>
        <w:rPr>
          <w:sz w:val="21"/>
          <w:szCs w:val="21"/>
        </w:rPr>
        <w:tab/>
      </w:r>
      <w:r>
        <w:rPr>
          <w:sz w:val="21"/>
          <w:szCs w:val="21"/>
        </w:rPr>
        <w:t>Zhang K, Cuthbert L G. Traffic pattern prediction in cellular networks[J]. 2008:549–553.</w:t>
      </w:r>
    </w:p>
    <w:p>
      <w:pPr>
        <w:spacing w:line="320" w:lineRule="exact"/>
        <w:ind w:firstLine="0" w:firstLineChars="0"/>
        <w:rPr>
          <w:sz w:val="21"/>
          <w:szCs w:val="21"/>
        </w:rPr>
      </w:pPr>
      <w:r>
        <w:rPr>
          <w:sz w:val="21"/>
          <w:szCs w:val="21"/>
        </w:rPr>
        <w:t>[</w:t>
      </w:r>
      <w:bookmarkStart w:id="268" w:name="BIB_tang2017a"/>
      <w:r>
        <w:rPr>
          <w:sz w:val="21"/>
          <w:szCs w:val="21"/>
        </w:rPr>
        <w:t>5</w:t>
      </w:r>
      <w:bookmarkEnd w:id="268"/>
      <w:bookmarkStart w:id="269" w:name="B4B_tang2017a"/>
      <w:bookmarkEnd w:id="269"/>
      <w:r>
        <w:rPr>
          <w:sz w:val="21"/>
          <w:szCs w:val="21"/>
        </w:rPr>
        <w:t>]</w:t>
      </w:r>
      <w:r>
        <w:rPr>
          <w:sz w:val="21"/>
          <w:szCs w:val="21"/>
        </w:rPr>
        <w:tab/>
      </w:r>
      <w:r>
        <w:rPr>
          <w:sz w:val="21"/>
          <w:szCs w:val="21"/>
        </w:rPr>
        <w:t>Tang H, Ou L. A temporal analysis of holiday effect on IP backbone traffic[J]. 2017:1042–1046.</w:t>
      </w:r>
    </w:p>
    <w:p>
      <w:pPr>
        <w:spacing w:line="320" w:lineRule="exact"/>
        <w:ind w:firstLine="0" w:firstLineChars="0"/>
        <w:rPr>
          <w:sz w:val="21"/>
          <w:szCs w:val="21"/>
        </w:rPr>
      </w:pPr>
      <w:r>
        <w:rPr>
          <w:sz w:val="21"/>
          <w:szCs w:val="21"/>
        </w:rPr>
        <w:t>[</w:t>
      </w:r>
      <w:bookmarkStart w:id="270" w:name="BIB_paraskevopoulos2013"/>
      <w:r>
        <w:rPr>
          <w:sz w:val="21"/>
          <w:szCs w:val="21"/>
        </w:rPr>
        <w:t>6</w:t>
      </w:r>
      <w:bookmarkEnd w:id="270"/>
      <w:bookmarkStart w:id="271" w:name="B4B_paraskevopoulos2013"/>
      <w:bookmarkEnd w:id="271"/>
      <w:r>
        <w:rPr>
          <w:sz w:val="21"/>
          <w:szCs w:val="21"/>
        </w:rPr>
        <w:t>]</w:t>
      </w:r>
      <w:r>
        <w:rPr>
          <w:sz w:val="21"/>
          <w:szCs w:val="21"/>
        </w:rPr>
        <w:tab/>
      </w:r>
      <w:r>
        <w:rPr>
          <w:sz w:val="21"/>
          <w:szCs w:val="21"/>
        </w:rPr>
        <w:t>Paraskevopoulos P, Dinh T C, Dashdorj Z, et al. Identification and characterization of human behavior patterns from mobile phone data[J]. D4D Challenge session, NetMob, 2013.</w:t>
      </w:r>
    </w:p>
    <w:p>
      <w:pPr>
        <w:spacing w:line="320" w:lineRule="exact"/>
        <w:ind w:firstLine="0" w:firstLineChars="0"/>
        <w:rPr>
          <w:sz w:val="21"/>
          <w:szCs w:val="21"/>
        </w:rPr>
      </w:pPr>
      <w:r>
        <w:rPr>
          <w:sz w:val="21"/>
          <w:szCs w:val="21"/>
        </w:rPr>
        <w:t>[</w:t>
      </w:r>
      <w:bookmarkStart w:id="272" w:name="BIB_paul2011understanding"/>
      <w:r>
        <w:rPr>
          <w:sz w:val="21"/>
          <w:szCs w:val="21"/>
        </w:rPr>
        <w:t>7</w:t>
      </w:r>
      <w:bookmarkEnd w:id="272"/>
      <w:bookmarkStart w:id="273" w:name="B4B_paul2011understanding"/>
      <w:bookmarkEnd w:id="273"/>
      <w:r>
        <w:rPr>
          <w:sz w:val="21"/>
          <w:szCs w:val="21"/>
        </w:rPr>
        <w:t>]</w:t>
      </w:r>
      <w:r>
        <w:rPr>
          <w:sz w:val="21"/>
          <w:szCs w:val="21"/>
        </w:rPr>
        <w:tab/>
      </w:r>
      <w:r>
        <w:rPr>
          <w:sz w:val="21"/>
          <w:szCs w:val="21"/>
        </w:rPr>
        <w:t>Paul U, Subramanian A P, Buddhikot M M, et al. Understanding traffic dynamics in cellular data networks[J]. Proceedings - IEEE INFOCOM, 2011, 8(1):882–890.</w:t>
      </w:r>
    </w:p>
    <w:p>
      <w:pPr>
        <w:spacing w:line="320" w:lineRule="exact"/>
        <w:ind w:firstLine="0" w:firstLineChars="0"/>
        <w:rPr>
          <w:sz w:val="21"/>
          <w:szCs w:val="21"/>
        </w:rPr>
      </w:pPr>
      <w:r>
        <w:rPr>
          <w:sz w:val="21"/>
          <w:szCs w:val="21"/>
        </w:rPr>
        <w:t>[</w:t>
      </w:r>
      <w:bookmarkStart w:id="274" w:name="BIB_primaryusers"/>
      <w:r>
        <w:rPr>
          <w:sz w:val="21"/>
          <w:szCs w:val="21"/>
        </w:rPr>
        <w:t>8</w:t>
      </w:r>
      <w:bookmarkEnd w:id="274"/>
      <w:bookmarkStart w:id="275" w:name="B4B_primaryusers"/>
      <w:bookmarkEnd w:id="275"/>
      <w:r>
        <w:rPr>
          <w:sz w:val="21"/>
          <w:szCs w:val="21"/>
        </w:rPr>
        <w:t>]</w:t>
      </w:r>
      <w:r>
        <w:rPr>
          <w:sz w:val="21"/>
          <w:szCs w:val="21"/>
        </w:rPr>
        <w:tab/>
      </w:r>
      <w:r>
        <w:rPr>
          <w:sz w:val="21"/>
          <w:szCs w:val="21"/>
        </w:rPr>
        <w:t>Willkomm D, Machiraju S, Bolot J, et al. Primary Users in Cellular Networks: A Large-Scale Measurement Study[C]//2008 3rd IEEE Symposium on New Frontiers in Dynamic Spectrum Access Networks. IEEE, 2008:1–11.</w:t>
      </w:r>
    </w:p>
    <w:p>
      <w:pPr>
        <w:spacing w:line="320" w:lineRule="exact"/>
        <w:ind w:firstLine="0" w:firstLineChars="0"/>
        <w:rPr>
          <w:sz w:val="21"/>
          <w:szCs w:val="21"/>
        </w:rPr>
      </w:pPr>
      <w:r>
        <w:rPr>
          <w:sz w:val="21"/>
          <w:szCs w:val="21"/>
        </w:rPr>
        <w:t>[</w:t>
      </w:r>
      <w:bookmarkStart w:id="276" w:name="BIB_girardin2009towards"/>
      <w:r>
        <w:rPr>
          <w:sz w:val="21"/>
          <w:szCs w:val="21"/>
        </w:rPr>
        <w:t>9</w:t>
      </w:r>
      <w:bookmarkEnd w:id="276"/>
      <w:bookmarkStart w:id="277" w:name="B4B_girardin2009towards"/>
      <w:bookmarkEnd w:id="277"/>
      <w:r>
        <w:rPr>
          <w:sz w:val="21"/>
          <w:szCs w:val="21"/>
        </w:rPr>
        <w:t>]</w:t>
      </w:r>
      <w:r>
        <w:rPr>
          <w:sz w:val="21"/>
          <w:szCs w:val="21"/>
        </w:rPr>
        <w:tab/>
      </w:r>
      <w:r>
        <w:rPr>
          <w:sz w:val="21"/>
          <w:szCs w:val="21"/>
        </w:rPr>
        <w:t>Girardin F, Vaccari A, Gerber A, et al. Towards estimating the presence of visitors from the aggregate mobile phone network activity they generate[C]//Intl. Conference on Computers in Urban Planning and Urban Management , 2009.</w:t>
      </w:r>
    </w:p>
    <w:p>
      <w:pPr>
        <w:spacing w:line="320" w:lineRule="exact"/>
        <w:ind w:firstLine="0" w:firstLineChars="0"/>
        <w:rPr>
          <w:sz w:val="21"/>
          <w:szCs w:val="21"/>
        </w:rPr>
      </w:pPr>
      <w:r>
        <w:rPr>
          <w:sz w:val="21"/>
          <w:szCs w:val="21"/>
        </w:rPr>
        <w:t>[</w:t>
      </w:r>
      <w:bookmarkStart w:id="278" w:name="BIB_zhang2016mobile"/>
      <w:r>
        <w:rPr>
          <w:sz w:val="21"/>
          <w:szCs w:val="21"/>
        </w:rPr>
        <w:t>10</w:t>
      </w:r>
      <w:bookmarkEnd w:id="278"/>
      <w:bookmarkStart w:id="279" w:name="B4B_zhang2016mobile"/>
      <w:bookmarkEnd w:id="279"/>
      <w:r>
        <w:rPr>
          <w:sz w:val="21"/>
          <w:szCs w:val="21"/>
        </w:rPr>
        <w:t>]</w:t>
      </w:r>
      <w:r>
        <w:rPr>
          <w:sz w:val="21"/>
          <w:szCs w:val="21"/>
        </w:rPr>
        <w:tab/>
      </w:r>
      <w:r>
        <w:rPr>
          <w:sz w:val="21"/>
          <w:szCs w:val="21"/>
        </w:rPr>
        <w:t>Zhang M, Xu F, Li Y. Mobile Traffic Data Decomposition for Understanding Human Urban Activities[C]//2016 IEEE 13th International Conference on Mobile Ad Hoc and Sensor Systems (MASS) , 2016:1–9.</w:t>
      </w:r>
    </w:p>
    <w:p>
      <w:pPr>
        <w:spacing w:line="320" w:lineRule="exact"/>
        <w:ind w:firstLine="0" w:firstLineChars="0"/>
        <w:rPr>
          <w:sz w:val="21"/>
          <w:szCs w:val="21"/>
        </w:rPr>
      </w:pPr>
      <w:r>
        <w:rPr>
          <w:sz w:val="21"/>
          <w:szCs w:val="21"/>
        </w:rPr>
        <w:t>[</w:t>
      </w:r>
      <w:bookmarkStart w:id="280" w:name="BIB_macqueen1967some"/>
      <w:r>
        <w:rPr>
          <w:sz w:val="21"/>
          <w:szCs w:val="21"/>
        </w:rPr>
        <w:t>11</w:t>
      </w:r>
      <w:bookmarkEnd w:id="280"/>
      <w:bookmarkStart w:id="281" w:name="B4B_macqueen1967some"/>
      <w:bookmarkEnd w:id="281"/>
      <w:r>
        <w:rPr>
          <w:sz w:val="21"/>
          <w:szCs w:val="21"/>
        </w:rPr>
        <w:t>]</w:t>
      </w:r>
      <w:r>
        <w:rPr>
          <w:sz w:val="21"/>
          <w:szCs w:val="21"/>
        </w:rPr>
        <w:tab/>
      </w:r>
      <w:r>
        <w:rPr>
          <w:sz w:val="21"/>
          <w:szCs w:val="21"/>
        </w:rPr>
        <w:t>MacQueen J, et al. Some methods for classification and analysis of multivariate observations[C]//Proceedings of the fifth Berkeley symposium on mathematical statistics and probability , 1967，1:281–297.</w:t>
      </w:r>
    </w:p>
    <w:p>
      <w:pPr>
        <w:spacing w:line="320" w:lineRule="exact"/>
        <w:ind w:firstLine="0" w:firstLineChars="0"/>
        <w:rPr>
          <w:sz w:val="21"/>
          <w:szCs w:val="21"/>
        </w:rPr>
      </w:pPr>
      <w:r>
        <w:rPr>
          <w:sz w:val="21"/>
          <w:szCs w:val="21"/>
        </w:rPr>
        <w:t>[</w:t>
      </w:r>
      <w:bookmarkStart w:id="282" w:name="BIB_yao2006prediction"/>
      <w:r>
        <w:rPr>
          <w:sz w:val="21"/>
          <w:szCs w:val="21"/>
        </w:rPr>
        <w:t>12</w:t>
      </w:r>
      <w:bookmarkEnd w:id="282"/>
      <w:bookmarkStart w:id="283" w:name="B4B_yao2006prediction"/>
      <w:bookmarkEnd w:id="283"/>
      <w:r>
        <w:rPr>
          <w:sz w:val="21"/>
          <w:szCs w:val="21"/>
        </w:rPr>
        <w:t>]</w:t>
      </w:r>
      <w:r>
        <w:rPr>
          <w:sz w:val="21"/>
          <w:szCs w:val="21"/>
        </w:rPr>
        <w:tab/>
      </w:r>
      <w:r>
        <w:rPr>
          <w:sz w:val="21"/>
          <w:szCs w:val="21"/>
        </w:rPr>
        <w:t>Yao N, Cuthbert L G. Prediction of antenna patterns for hotspots in WCDMA Networks[J]. 2006:1–6.</w:t>
      </w:r>
    </w:p>
    <w:p>
      <w:pPr>
        <w:spacing w:line="320" w:lineRule="exact"/>
        <w:ind w:firstLine="0" w:firstLineChars="0"/>
        <w:rPr>
          <w:sz w:val="21"/>
          <w:szCs w:val="21"/>
        </w:rPr>
      </w:pPr>
      <w:r>
        <w:rPr>
          <w:sz w:val="21"/>
          <w:szCs w:val="21"/>
        </w:rPr>
        <w:t>[</w:t>
      </w:r>
      <w:bookmarkStart w:id="284" w:name="BIB_aamodt1994case"/>
      <w:r>
        <w:rPr>
          <w:sz w:val="21"/>
          <w:szCs w:val="21"/>
        </w:rPr>
        <w:t>13</w:t>
      </w:r>
      <w:bookmarkEnd w:id="284"/>
      <w:bookmarkStart w:id="285" w:name="B4B_aamodt1994case"/>
      <w:bookmarkEnd w:id="285"/>
      <w:r>
        <w:rPr>
          <w:sz w:val="21"/>
          <w:szCs w:val="21"/>
        </w:rPr>
        <w:t>]</w:t>
      </w:r>
      <w:r>
        <w:rPr>
          <w:sz w:val="21"/>
          <w:szCs w:val="21"/>
        </w:rPr>
        <w:tab/>
      </w:r>
      <w:r>
        <w:rPr>
          <w:sz w:val="21"/>
          <w:szCs w:val="21"/>
        </w:rPr>
        <w:t>Aamodt A, Plaza E. Case-based reasoning: Foundational issues, methodological variations, and system approaches[J]. AI communications, 1994, 7(1):39–59.</w:t>
      </w:r>
    </w:p>
    <w:p>
      <w:pPr>
        <w:spacing w:line="320" w:lineRule="exact"/>
        <w:ind w:firstLine="0" w:firstLineChars="0"/>
        <w:rPr>
          <w:sz w:val="21"/>
          <w:szCs w:val="21"/>
        </w:rPr>
      </w:pPr>
      <w:r>
        <w:rPr>
          <w:sz w:val="21"/>
          <w:szCs w:val="21"/>
        </w:rPr>
        <w:t>[</w:t>
      </w:r>
      <w:bookmarkStart w:id="286" w:name="BIB_zang2015wavelet"/>
      <w:r>
        <w:rPr>
          <w:sz w:val="21"/>
          <w:szCs w:val="21"/>
        </w:rPr>
        <w:t>14</w:t>
      </w:r>
      <w:bookmarkEnd w:id="286"/>
      <w:bookmarkStart w:id="287" w:name="B4B_zang2015wavelet"/>
      <w:bookmarkEnd w:id="287"/>
      <w:r>
        <w:rPr>
          <w:sz w:val="21"/>
          <w:szCs w:val="21"/>
        </w:rPr>
        <w:t>]</w:t>
      </w:r>
      <w:r>
        <w:rPr>
          <w:sz w:val="21"/>
          <w:szCs w:val="21"/>
        </w:rPr>
        <w:tab/>
      </w:r>
      <w:r>
        <w:rPr>
          <w:sz w:val="21"/>
          <w:szCs w:val="21"/>
        </w:rPr>
        <w:t>Zang Y, Ni F, Feng Z, et al. Wavelet transform processing for cellular traffic prediction in machine learning networks[C]//2015 IEEE China Summit and International Conference on Signal and Information Processing (ChinaSIP) , 2015:458–462.</w:t>
      </w:r>
    </w:p>
    <w:p>
      <w:pPr>
        <w:spacing w:line="320" w:lineRule="exact"/>
        <w:ind w:firstLine="0" w:firstLineChars="0"/>
        <w:rPr>
          <w:sz w:val="21"/>
          <w:szCs w:val="21"/>
        </w:rPr>
      </w:pPr>
      <w:r>
        <w:rPr>
          <w:sz w:val="21"/>
          <w:szCs w:val="21"/>
        </w:rPr>
        <w:t>[</w:t>
      </w:r>
      <w:bookmarkStart w:id="288" w:name="BIB_elman1990finding"/>
      <w:r>
        <w:rPr>
          <w:sz w:val="21"/>
          <w:szCs w:val="21"/>
        </w:rPr>
        <w:t>15</w:t>
      </w:r>
      <w:bookmarkEnd w:id="288"/>
      <w:bookmarkStart w:id="289" w:name="B4B_elman1990finding"/>
      <w:bookmarkEnd w:id="289"/>
      <w:r>
        <w:rPr>
          <w:sz w:val="21"/>
          <w:szCs w:val="21"/>
        </w:rPr>
        <w:t>]</w:t>
      </w:r>
      <w:r>
        <w:rPr>
          <w:sz w:val="21"/>
          <w:szCs w:val="21"/>
        </w:rPr>
        <w:tab/>
      </w:r>
      <w:r>
        <w:rPr>
          <w:sz w:val="21"/>
          <w:szCs w:val="21"/>
        </w:rPr>
        <w:t>Elman J L. Finding structure in time[J]. Cognitive science, 1990, 14(2):179–211.</w:t>
      </w:r>
    </w:p>
    <w:p>
      <w:pPr>
        <w:spacing w:line="320" w:lineRule="exact"/>
        <w:ind w:firstLine="0" w:firstLineChars="0"/>
        <w:rPr>
          <w:sz w:val="21"/>
          <w:szCs w:val="21"/>
        </w:rPr>
      </w:pPr>
      <w:r>
        <w:rPr>
          <w:sz w:val="21"/>
          <w:szCs w:val="21"/>
        </w:rPr>
        <w:t>[</w:t>
      </w:r>
      <w:bookmarkStart w:id="290" w:name="BIB_chui2016introduction"/>
      <w:r>
        <w:rPr>
          <w:sz w:val="21"/>
          <w:szCs w:val="21"/>
        </w:rPr>
        <w:t>16</w:t>
      </w:r>
      <w:bookmarkEnd w:id="290"/>
      <w:bookmarkStart w:id="291" w:name="B4B_chui2016introduction"/>
      <w:bookmarkEnd w:id="291"/>
      <w:r>
        <w:rPr>
          <w:sz w:val="21"/>
          <w:szCs w:val="21"/>
        </w:rPr>
        <w:t>]</w:t>
      </w:r>
      <w:r>
        <w:rPr>
          <w:sz w:val="21"/>
          <w:szCs w:val="21"/>
        </w:rPr>
        <w:tab/>
      </w:r>
      <w:r>
        <w:rPr>
          <w:sz w:val="21"/>
          <w:szCs w:val="21"/>
        </w:rPr>
        <w:t>Chui C K. An introduction to wavelets[M]. Elsevier, 2016.</w:t>
      </w:r>
    </w:p>
    <w:p>
      <w:pPr>
        <w:spacing w:line="320" w:lineRule="exact"/>
        <w:ind w:firstLine="0" w:firstLineChars="0"/>
        <w:rPr>
          <w:sz w:val="21"/>
          <w:szCs w:val="21"/>
        </w:rPr>
      </w:pPr>
      <w:r>
        <w:rPr>
          <w:sz w:val="21"/>
          <w:szCs w:val="21"/>
        </w:rPr>
        <w:t>[</w:t>
      </w:r>
      <w:bookmarkStart w:id="292" w:name="BIB_verenich2016complex"/>
      <w:r>
        <w:rPr>
          <w:sz w:val="21"/>
          <w:szCs w:val="21"/>
        </w:rPr>
        <w:t>17</w:t>
      </w:r>
      <w:bookmarkEnd w:id="292"/>
      <w:bookmarkStart w:id="293" w:name="B4B_verenich2016complex"/>
      <w:bookmarkEnd w:id="293"/>
      <w:r>
        <w:rPr>
          <w:sz w:val="21"/>
          <w:szCs w:val="21"/>
        </w:rPr>
        <w:t>]</w:t>
      </w:r>
      <w:r>
        <w:rPr>
          <w:sz w:val="21"/>
          <w:szCs w:val="21"/>
        </w:rPr>
        <w:tab/>
      </w:r>
      <w:r>
        <w:rPr>
          <w:sz w:val="21"/>
          <w:szCs w:val="21"/>
        </w:rPr>
        <w:t>Verenich I, Dumas M, La Rosa M, et al. Complex symbolic sequence clustering and multiple classifiers for predictive process monitoring[C]//International Conference on Business Process Management , 2016:218–229.</w:t>
      </w:r>
    </w:p>
    <w:p>
      <w:pPr>
        <w:spacing w:line="320" w:lineRule="exact"/>
        <w:ind w:firstLine="0" w:firstLineChars="0"/>
        <w:rPr>
          <w:sz w:val="21"/>
          <w:szCs w:val="21"/>
        </w:rPr>
      </w:pPr>
      <w:r>
        <w:rPr>
          <w:sz w:val="21"/>
          <w:szCs w:val="21"/>
        </w:rPr>
        <w:t>[</w:t>
      </w:r>
      <w:bookmarkStart w:id="294" w:name="BIB_miao2016msfs"/>
      <w:r>
        <w:rPr>
          <w:sz w:val="21"/>
          <w:szCs w:val="21"/>
        </w:rPr>
        <w:t>18</w:t>
      </w:r>
      <w:bookmarkEnd w:id="294"/>
      <w:bookmarkStart w:id="295" w:name="B4B_miao2016msfs"/>
      <w:bookmarkEnd w:id="295"/>
      <w:r>
        <w:rPr>
          <w:sz w:val="21"/>
          <w:szCs w:val="21"/>
        </w:rPr>
        <w:t>]</w:t>
      </w:r>
      <w:r>
        <w:rPr>
          <w:sz w:val="21"/>
          <w:szCs w:val="21"/>
        </w:rPr>
        <w:tab/>
      </w:r>
      <w:r>
        <w:rPr>
          <w:sz w:val="21"/>
          <w:szCs w:val="21"/>
        </w:rPr>
        <w:t>Miao D, Sun W, Qin X, et al. MSFS: multiple spatio-temporal scales traffic forecasting in mobile cellular network[C]//2016 IEEE 14th Intl Conf on Dependable, Autonomic and Secure Computing, 14th Intl Conf on Pervasive Intelligence and Computing, 2nd Intl Conf on Big Data Intelligence and Computing and Cyber Science and Technology Congress (DASC/PiCom/DataCom/CyberSciTech) , 2016:787–794.</w:t>
      </w:r>
    </w:p>
    <w:p>
      <w:pPr>
        <w:spacing w:line="320" w:lineRule="exact"/>
        <w:ind w:firstLine="0" w:firstLineChars="0"/>
        <w:rPr>
          <w:sz w:val="21"/>
          <w:szCs w:val="21"/>
        </w:rPr>
      </w:pPr>
      <w:r>
        <w:rPr>
          <w:sz w:val="21"/>
          <w:szCs w:val="21"/>
        </w:rPr>
        <w:t>[</w:t>
      </w:r>
      <w:bookmarkStart w:id="296" w:name="BIB_xu2016big"/>
      <w:r>
        <w:rPr>
          <w:sz w:val="21"/>
          <w:szCs w:val="21"/>
        </w:rPr>
        <w:t>19</w:t>
      </w:r>
      <w:bookmarkEnd w:id="296"/>
      <w:bookmarkStart w:id="297" w:name="B4B_xu2016big"/>
      <w:bookmarkEnd w:id="297"/>
      <w:r>
        <w:rPr>
          <w:sz w:val="21"/>
          <w:szCs w:val="21"/>
        </w:rPr>
        <w:t>]</w:t>
      </w:r>
      <w:r>
        <w:rPr>
          <w:sz w:val="21"/>
          <w:szCs w:val="21"/>
        </w:rPr>
        <w:tab/>
      </w:r>
      <w:r>
        <w:rPr>
          <w:sz w:val="21"/>
          <w:szCs w:val="21"/>
        </w:rPr>
        <w:t>Xu F, Lin Y, Huang J, et al. Big data driven mobile traffic understanding and forecasting: A time series approach[J]. IEEE transactions on services computing, 2016, 9(5):796–805.</w:t>
      </w:r>
    </w:p>
    <w:p>
      <w:pPr>
        <w:spacing w:line="320" w:lineRule="exact"/>
        <w:ind w:firstLine="0" w:firstLineChars="0"/>
        <w:rPr>
          <w:sz w:val="21"/>
          <w:szCs w:val="21"/>
        </w:rPr>
      </w:pPr>
      <w:r>
        <w:rPr>
          <w:sz w:val="21"/>
          <w:szCs w:val="21"/>
        </w:rPr>
        <w:t>[</w:t>
      </w:r>
      <w:bookmarkStart w:id="298" w:name="BIB_greff2017lstm"/>
      <w:r>
        <w:rPr>
          <w:sz w:val="21"/>
          <w:szCs w:val="21"/>
        </w:rPr>
        <w:t>20</w:t>
      </w:r>
      <w:bookmarkEnd w:id="298"/>
      <w:bookmarkStart w:id="299" w:name="B4B_greff2017lstm"/>
      <w:bookmarkEnd w:id="299"/>
      <w:r>
        <w:rPr>
          <w:sz w:val="21"/>
          <w:szCs w:val="21"/>
        </w:rPr>
        <w:t>]</w:t>
      </w:r>
      <w:r>
        <w:rPr>
          <w:sz w:val="21"/>
          <w:szCs w:val="21"/>
        </w:rPr>
        <w:tab/>
      </w:r>
      <w:r>
        <w:rPr>
          <w:sz w:val="21"/>
          <w:szCs w:val="21"/>
        </w:rPr>
        <w:t>Greff K, Srivastava R K, Koutnk J, et al. LSTM: A search space odyssey[J]. ÍEEE transactions on neural networks and learning systems, 2017, 28(10):2222–2232.</w:t>
      </w:r>
    </w:p>
    <w:p>
      <w:pPr>
        <w:spacing w:line="320" w:lineRule="exact"/>
        <w:ind w:firstLine="0" w:firstLineChars="0"/>
        <w:rPr>
          <w:sz w:val="21"/>
          <w:szCs w:val="21"/>
        </w:rPr>
      </w:pPr>
      <w:r>
        <w:rPr>
          <w:sz w:val="21"/>
          <w:szCs w:val="21"/>
        </w:rPr>
        <w:t>[</w:t>
      </w:r>
      <w:bookmarkStart w:id="300" w:name="BIB_jozefowicz2016exploring"/>
      <w:r>
        <w:rPr>
          <w:sz w:val="21"/>
          <w:szCs w:val="21"/>
        </w:rPr>
        <w:t>21</w:t>
      </w:r>
      <w:bookmarkEnd w:id="300"/>
      <w:bookmarkStart w:id="301" w:name="B4B_jozefowicz2016exploring"/>
      <w:bookmarkEnd w:id="301"/>
      <w:r>
        <w:rPr>
          <w:sz w:val="21"/>
          <w:szCs w:val="21"/>
        </w:rPr>
        <w:t>]</w:t>
      </w:r>
      <w:r>
        <w:rPr>
          <w:sz w:val="21"/>
          <w:szCs w:val="21"/>
        </w:rPr>
        <w:tab/>
      </w:r>
      <w:r>
        <w:rPr>
          <w:sz w:val="21"/>
          <w:szCs w:val="21"/>
        </w:rPr>
        <w:t>Jozefowicz R, Vinyals O, Schuster M, et al. Exploring the limits of language modeling[J]. arXiv preprint arXiv:1602.02410, 2016.</w:t>
      </w:r>
    </w:p>
    <w:p>
      <w:pPr>
        <w:spacing w:line="320" w:lineRule="exact"/>
        <w:ind w:firstLine="0" w:firstLineChars="0"/>
        <w:rPr>
          <w:sz w:val="21"/>
          <w:szCs w:val="21"/>
        </w:rPr>
      </w:pPr>
      <w:r>
        <w:rPr>
          <w:sz w:val="21"/>
          <w:szCs w:val="21"/>
        </w:rPr>
        <w:t>[</w:t>
      </w:r>
      <w:bookmarkStart w:id="302" w:name="BIB_cleveland1990stl"/>
      <w:r>
        <w:rPr>
          <w:sz w:val="21"/>
          <w:szCs w:val="21"/>
        </w:rPr>
        <w:t>22</w:t>
      </w:r>
      <w:bookmarkEnd w:id="302"/>
      <w:bookmarkStart w:id="303" w:name="B4B_cleveland1990stl"/>
      <w:bookmarkEnd w:id="303"/>
      <w:r>
        <w:rPr>
          <w:sz w:val="21"/>
          <w:szCs w:val="21"/>
        </w:rPr>
        <w:t>]</w:t>
      </w:r>
      <w:r>
        <w:rPr>
          <w:sz w:val="21"/>
          <w:szCs w:val="21"/>
        </w:rPr>
        <w:tab/>
      </w:r>
      <w:r>
        <w:rPr>
          <w:sz w:val="21"/>
          <w:szCs w:val="21"/>
        </w:rPr>
        <w:t>Cleveland R B, Cleveland W S, McRae J E, et al. STL: A seasonal-trend decomposition[J]. Journal of official statistics, 1990, 6(1):3–73.</w:t>
      </w:r>
    </w:p>
    <w:p>
      <w:pPr>
        <w:spacing w:line="320" w:lineRule="exact"/>
        <w:ind w:firstLine="0" w:firstLineChars="0"/>
        <w:rPr>
          <w:sz w:val="21"/>
          <w:szCs w:val="21"/>
        </w:rPr>
      </w:pPr>
      <w:r>
        <w:rPr>
          <w:sz w:val="21"/>
          <w:szCs w:val="21"/>
        </w:rPr>
        <w:t>[</w:t>
      </w:r>
      <w:bookmarkStart w:id="304" w:name="BIB_adamek2004abstract"/>
      <w:r>
        <w:rPr>
          <w:sz w:val="21"/>
          <w:szCs w:val="21"/>
        </w:rPr>
        <w:t>23</w:t>
      </w:r>
      <w:bookmarkEnd w:id="304"/>
      <w:bookmarkStart w:id="305" w:name="B4B_adamek2004abstract"/>
      <w:bookmarkEnd w:id="305"/>
      <w:r>
        <w:rPr>
          <w:sz w:val="21"/>
          <w:szCs w:val="21"/>
        </w:rPr>
        <w:t>]</w:t>
      </w:r>
      <w:r>
        <w:rPr>
          <w:sz w:val="21"/>
          <w:szCs w:val="21"/>
        </w:rPr>
        <w:tab/>
      </w:r>
      <w:r>
        <w:rPr>
          <w:sz w:val="21"/>
          <w:szCs w:val="21"/>
        </w:rPr>
        <w:t>Adámek J, Herrlich H, Strecker G E. Abstract and concrete categories. The joy of cats[J]. 2004.</w:t>
      </w:r>
    </w:p>
    <w:p>
      <w:pPr>
        <w:spacing w:line="320" w:lineRule="exact"/>
        <w:ind w:firstLine="0" w:firstLineChars="0"/>
        <w:rPr>
          <w:sz w:val="21"/>
          <w:szCs w:val="21"/>
        </w:rPr>
      </w:pPr>
      <w:r>
        <w:rPr>
          <w:sz w:val="21"/>
          <w:szCs w:val="21"/>
        </w:rPr>
        <w:t>[</w:t>
      </w:r>
      <w:bookmarkStart w:id="306" w:name="BIB_chen2016xgboost"/>
      <w:r>
        <w:rPr>
          <w:sz w:val="21"/>
          <w:szCs w:val="21"/>
        </w:rPr>
        <w:t>24</w:t>
      </w:r>
      <w:bookmarkEnd w:id="306"/>
      <w:bookmarkStart w:id="307" w:name="B4B_chen2016xgboost"/>
      <w:bookmarkEnd w:id="307"/>
      <w:r>
        <w:rPr>
          <w:sz w:val="21"/>
          <w:szCs w:val="21"/>
        </w:rPr>
        <w:t>]</w:t>
      </w:r>
      <w:r>
        <w:rPr>
          <w:sz w:val="21"/>
          <w:szCs w:val="21"/>
        </w:rPr>
        <w:tab/>
      </w:r>
      <w:r>
        <w:rPr>
          <w:sz w:val="21"/>
          <w:szCs w:val="21"/>
        </w:rPr>
        <w:t>Chen T, Guestrin C. Xgboost: A scalable tree boosting system[C]//Proceedings of the 22nd acm sigkdd international conference on knowledge discovery and data mining , 2016:785–794.</w:t>
      </w:r>
    </w:p>
    <w:p>
      <w:pPr>
        <w:spacing w:line="320" w:lineRule="exact"/>
        <w:ind w:firstLine="0" w:firstLineChars="0"/>
        <w:rPr>
          <w:sz w:val="21"/>
          <w:szCs w:val="21"/>
        </w:rPr>
      </w:pPr>
      <w:r>
        <w:rPr>
          <w:sz w:val="21"/>
          <w:szCs w:val="21"/>
        </w:rPr>
        <w:t>[</w:t>
      </w:r>
      <w:bookmarkStart w:id="308" w:name="BIB_kriegel2017black"/>
      <w:r>
        <w:rPr>
          <w:sz w:val="21"/>
          <w:szCs w:val="21"/>
        </w:rPr>
        <w:t>25</w:t>
      </w:r>
      <w:bookmarkEnd w:id="308"/>
      <w:bookmarkStart w:id="309" w:name="B4B_kriegel2017black"/>
      <w:bookmarkEnd w:id="309"/>
      <w:r>
        <w:rPr>
          <w:sz w:val="21"/>
          <w:szCs w:val="21"/>
        </w:rPr>
        <w:t>]</w:t>
      </w:r>
      <w:r>
        <w:rPr>
          <w:sz w:val="21"/>
          <w:szCs w:val="21"/>
        </w:rPr>
        <w:tab/>
      </w:r>
      <w:r>
        <w:rPr>
          <w:sz w:val="21"/>
          <w:szCs w:val="21"/>
        </w:rPr>
        <w:t>Kriegel H P, Schubert E, Zimek A. The (black) art of runtime evaluation: Are we comparing algorithms or implementations?[J]. Knowledge and Information Systems, 2017, 52(2):341–378.</w:t>
      </w:r>
    </w:p>
    <w:p>
      <w:pPr>
        <w:spacing w:line="320" w:lineRule="exact"/>
        <w:ind w:firstLine="0" w:firstLineChars="0"/>
        <w:rPr>
          <w:sz w:val="21"/>
          <w:szCs w:val="21"/>
        </w:rPr>
      </w:pPr>
      <w:r>
        <w:rPr>
          <w:sz w:val="21"/>
          <w:szCs w:val="21"/>
        </w:rPr>
        <w:t>[</w:t>
      </w:r>
      <w:bookmarkStart w:id="310" w:name="BIB_atary2016efficient"/>
      <w:r>
        <w:rPr>
          <w:sz w:val="21"/>
          <w:szCs w:val="21"/>
        </w:rPr>
        <w:t>26</w:t>
      </w:r>
      <w:bookmarkEnd w:id="310"/>
      <w:bookmarkStart w:id="311" w:name="B4B_atary2016efficient"/>
      <w:bookmarkEnd w:id="311"/>
      <w:r>
        <w:rPr>
          <w:sz w:val="21"/>
          <w:szCs w:val="21"/>
        </w:rPr>
        <w:t>]</w:t>
      </w:r>
      <w:r>
        <w:rPr>
          <w:sz w:val="21"/>
          <w:szCs w:val="21"/>
        </w:rPr>
        <w:tab/>
      </w:r>
      <w:r>
        <w:rPr>
          <w:sz w:val="21"/>
          <w:szCs w:val="21"/>
        </w:rPr>
        <w:t>Atary A, Bremler-Barr A. Efficient round-trip time monitoring in OpenFlow networks[C]//IEEE INFOCOM 2016-The 35th Annual IEEE International Conference on Computer Communications , 2016:1–9.</w:t>
      </w:r>
    </w:p>
    <w:p>
      <w:pPr>
        <w:spacing w:line="320" w:lineRule="exact"/>
        <w:ind w:firstLine="0" w:firstLineChars="0"/>
        <w:rPr>
          <w:sz w:val="21"/>
          <w:szCs w:val="21"/>
        </w:rPr>
      </w:pPr>
      <w:r>
        <w:rPr>
          <w:sz w:val="21"/>
          <w:szCs w:val="21"/>
        </w:rPr>
        <w:t>[</w:t>
      </w:r>
      <w:bookmarkStart w:id="312" w:name="BIB_roy2018quality"/>
      <w:r>
        <w:rPr>
          <w:sz w:val="21"/>
          <w:szCs w:val="21"/>
        </w:rPr>
        <w:t>27</w:t>
      </w:r>
      <w:bookmarkEnd w:id="312"/>
      <w:bookmarkStart w:id="313" w:name="B4B_roy2018quality"/>
      <w:bookmarkEnd w:id="313"/>
      <w:r>
        <w:rPr>
          <w:sz w:val="21"/>
          <w:szCs w:val="21"/>
        </w:rPr>
        <w:t>]</w:t>
      </w:r>
      <w:r>
        <w:rPr>
          <w:sz w:val="21"/>
          <w:szCs w:val="21"/>
        </w:rPr>
        <w:tab/>
      </w:r>
      <w:r>
        <w:rPr>
          <w:sz w:val="21"/>
          <w:szCs w:val="21"/>
        </w:rPr>
        <w:t>Roy A, Acharya T, DasBit S. Quality of service in delay tolerant networks: A survey[J]. Computer Networks, 2018, 130:121–133.</w:t>
      </w:r>
    </w:p>
    <w:p>
      <w:pPr>
        <w:spacing w:line="320" w:lineRule="exact"/>
        <w:ind w:firstLine="0" w:firstLineChars="0"/>
        <w:rPr>
          <w:sz w:val="21"/>
          <w:szCs w:val="21"/>
        </w:rPr>
      </w:pPr>
      <w:r>
        <w:rPr>
          <w:sz w:val="21"/>
          <w:szCs w:val="21"/>
        </w:rPr>
        <w:t>[</w:t>
      </w:r>
      <w:bookmarkStart w:id="314" w:name="BIB_ke2017lightgbm"/>
      <w:r>
        <w:rPr>
          <w:sz w:val="21"/>
          <w:szCs w:val="21"/>
        </w:rPr>
        <w:t>28</w:t>
      </w:r>
      <w:bookmarkEnd w:id="314"/>
      <w:bookmarkStart w:id="315" w:name="B4B_ke2017lightgbm"/>
      <w:bookmarkEnd w:id="315"/>
      <w:r>
        <w:rPr>
          <w:sz w:val="21"/>
          <w:szCs w:val="21"/>
        </w:rPr>
        <w:t>]</w:t>
      </w:r>
      <w:r>
        <w:rPr>
          <w:sz w:val="21"/>
          <w:szCs w:val="21"/>
        </w:rPr>
        <w:tab/>
      </w:r>
      <w:r>
        <w:rPr>
          <w:sz w:val="21"/>
          <w:szCs w:val="21"/>
        </w:rPr>
        <w:t>Ke G, Meng Q, Finley T, et al. Lightgbm: A highly efficient gradient boosting decision tree[C]//Advances in Neural Information Processing Systems , 2017:3146–3154.</w:t>
      </w:r>
    </w:p>
    <w:p>
      <w:pPr>
        <w:spacing w:line="320" w:lineRule="exact"/>
        <w:ind w:firstLine="0" w:firstLineChars="0"/>
        <w:rPr>
          <w:sz w:val="21"/>
          <w:szCs w:val="21"/>
        </w:rPr>
      </w:pPr>
      <w:r>
        <w:rPr>
          <w:sz w:val="21"/>
          <w:szCs w:val="21"/>
        </w:rPr>
        <w:t>[</w:t>
      </w:r>
      <w:bookmarkStart w:id="316" w:name="BIB_varoquaux2017assessing"/>
      <w:r>
        <w:rPr>
          <w:sz w:val="21"/>
          <w:szCs w:val="21"/>
        </w:rPr>
        <w:t>29</w:t>
      </w:r>
      <w:bookmarkEnd w:id="316"/>
      <w:bookmarkStart w:id="317" w:name="B4B_varoquaux2017assessing"/>
      <w:bookmarkEnd w:id="317"/>
      <w:r>
        <w:rPr>
          <w:sz w:val="21"/>
          <w:szCs w:val="21"/>
        </w:rPr>
        <w:t>]</w:t>
      </w:r>
      <w:r>
        <w:rPr>
          <w:sz w:val="21"/>
          <w:szCs w:val="21"/>
        </w:rPr>
        <w:tab/>
      </w:r>
      <w:r>
        <w:rPr>
          <w:sz w:val="21"/>
          <w:szCs w:val="21"/>
        </w:rPr>
        <w:t>Varoquaux G, Raamana P R, Engemann D A, et al. Assessing and tuning brain decoders: cross-validation, caveats, and guidelines[J]. NeuroImage, 2017, 145:166–179.</w:t>
      </w:r>
    </w:p>
    <w:p>
      <w:pPr>
        <w:spacing w:line="320" w:lineRule="exact"/>
        <w:ind w:firstLine="0" w:firstLineChars="0"/>
        <w:rPr>
          <w:sz w:val="21"/>
          <w:szCs w:val="21"/>
        </w:rPr>
      </w:pPr>
      <w:r>
        <w:rPr>
          <w:sz w:val="21"/>
          <w:szCs w:val="21"/>
        </w:rPr>
        <w:t>[</w:t>
      </w:r>
      <w:bookmarkStart w:id="318" w:name="BIB_wei2017early"/>
      <w:r>
        <w:rPr>
          <w:sz w:val="21"/>
          <w:szCs w:val="21"/>
        </w:rPr>
        <w:t>30</w:t>
      </w:r>
      <w:bookmarkEnd w:id="318"/>
      <w:bookmarkStart w:id="319" w:name="B4B_wei2017early"/>
      <w:bookmarkEnd w:id="319"/>
      <w:r>
        <w:rPr>
          <w:sz w:val="21"/>
          <w:szCs w:val="21"/>
        </w:rPr>
        <w:t>]</w:t>
      </w:r>
      <w:r>
        <w:rPr>
          <w:sz w:val="21"/>
          <w:szCs w:val="21"/>
        </w:rPr>
        <w:tab/>
      </w:r>
      <w:r>
        <w:rPr>
          <w:sz w:val="21"/>
          <w:szCs w:val="21"/>
        </w:rPr>
        <w:t>Wei Y, Yang F, Wainwright M J. Early stopping for kernel boosting algorithms: A general analysis with localized complexities[C]//Advances in Neural Information Processing Systems , 2017:6065–6075.</w:t>
      </w:r>
    </w:p>
    <w:p>
      <w:pPr>
        <w:spacing w:line="320" w:lineRule="exact"/>
        <w:ind w:firstLine="0" w:firstLineChars="0"/>
        <w:rPr>
          <w:sz w:val="21"/>
          <w:szCs w:val="21"/>
        </w:rPr>
      </w:pPr>
      <w:r>
        <w:rPr>
          <w:sz w:val="21"/>
          <w:szCs w:val="21"/>
        </w:rPr>
        <w:t>[</w:t>
      </w:r>
      <w:bookmarkStart w:id="320" w:name="BIB_kyurkchiev2015sigmoid"/>
      <w:r>
        <w:rPr>
          <w:sz w:val="21"/>
          <w:szCs w:val="21"/>
        </w:rPr>
        <w:t>31</w:t>
      </w:r>
      <w:bookmarkEnd w:id="320"/>
      <w:bookmarkStart w:id="321" w:name="B4B_kyurkchiev2015sigmoid"/>
      <w:bookmarkEnd w:id="321"/>
      <w:r>
        <w:rPr>
          <w:sz w:val="21"/>
          <w:szCs w:val="21"/>
        </w:rPr>
        <w:t>]</w:t>
      </w:r>
      <w:r>
        <w:rPr>
          <w:sz w:val="21"/>
          <w:szCs w:val="21"/>
        </w:rPr>
        <w:tab/>
      </w:r>
      <w:r>
        <w:rPr>
          <w:sz w:val="21"/>
          <w:szCs w:val="21"/>
        </w:rPr>
        <w:t>Kyurkchiev N, Markov S. Sigmoid functions: some approximation and modelling aspects[J]. LAP LAMBERT Academic Publishing, Saarbrucken, 2015.</w:t>
      </w:r>
    </w:p>
    <w:p>
      <w:pPr>
        <w:spacing w:line="320" w:lineRule="exact"/>
        <w:ind w:firstLine="0" w:firstLineChars="0"/>
        <w:rPr>
          <w:sz w:val="21"/>
          <w:szCs w:val="21"/>
        </w:rPr>
      </w:pPr>
      <w:r>
        <w:rPr>
          <w:sz w:val="21"/>
          <w:szCs w:val="21"/>
        </w:rPr>
        <w:t>[</w:t>
      </w:r>
      <w:bookmarkStart w:id="322" w:name="BIB_buhlmann2011statistics"/>
      <w:r>
        <w:rPr>
          <w:sz w:val="21"/>
          <w:szCs w:val="21"/>
        </w:rPr>
        <w:t>32</w:t>
      </w:r>
      <w:bookmarkEnd w:id="322"/>
      <w:bookmarkStart w:id="323" w:name="B4B_buhlmann2011statistics"/>
      <w:bookmarkEnd w:id="323"/>
      <w:r>
        <w:rPr>
          <w:sz w:val="21"/>
          <w:szCs w:val="21"/>
        </w:rPr>
        <w:t>]</w:t>
      </w:r>
      <w:r>
        <w:rPr>
          <w:sz w:val="21"/>
          <w:szCs w:val="21"/>
        </w:rPr>
        <w:tab/>
      </w:r>
      <w:r>
        <w:rPr>
          <w:sz w:val="21"/>
          <w:szCs w:val="21"/>
        </w:rPr>
        <w:t>Bühlmann P, Van De Geer S. Statistics for high-dimensional data: methods, theory and applications[M]. Springer Science &amp; Business Media, 2011.</w:t>
      </w:r>
    </w:p>
    <w:p>
      <w:pPr>
        <w:spacing w:line="320" w:lineRule="exact"/>
        <w:ind w:firstLine="0" w:firstLineChars="0"/>
        <w:rPr>
          <w:sz w:val="21"/>
          <w:szCs w:val="21"/>
        </w:rPr>
      </w:pPr>
      <w:r>
        <w:rPr>
          <w:sz w:val="21"/>
          <w:szCs w:val="21"/>
        </w:rPr>
        <w:t>[</w:t>
      </w:r>
      <w:bookmarkStart w:id="324" w:name="BIB_martins2016softmax"/>
      <w:r>
        <w:rPr>
          <w:sz w:val="21"/>
          <w:szCs w:val="21"/>
        </w:rPr>
        <w:t>33</w:t>
      </w:r>
      <w:bookmarkEnd w:id="324"/>
      <w:bookmarkStart w:id="325" w:name="B4B_martins2016softmax"/>
      <w:bookmarkEnd w:id="325"/>
      <w:r>
        <w:rPr>
          <w:sz w:val="21"/>
          <w:szCs w:val="21"/>
        </w:rPr>
        <w:t>]</w:t>
      </w:r>
      <w:r>
        <w:rPr>
          <w:sz w:val="21"/>
          <w:szCs w:val="21"/>
        </w:rPr>
        <w:tab/>
      </w:r>
      <w:r>
        <w:rPr>
          <w:sz w:val="21"/>
          <w:szCs w:val="21"/>
        </w:rPr>
        <w:t>Martins A, Astudillo R. From softmax to sparsemax: A sparse model of attention and multi-label classification[C]//International Conference on Machine Learning , 2016:1614–1623.</w:t>
      </w:r>
    </w:p>
    <w:p>
      <w:pPr>
        <w:spacing w:line="320" w:lineRule="exact"/>
        <w:ind w:firstLine="0" w:firstLineChars="0"/>
        <w:rPr>
          <w:sz w:val="21"/>
          <w:szCs w:val="21"/>
        </w:rPr>
      </w:pPr>
      <w:r>
        <w:rPr>
          <w:sz w:val="21"/>
          <w:szCs w:val="21"/>
        </w:rPr>
        <w:t>[</w:t>
      </w:r>
      <w:bookmarkStart w:id="326" w:name="BIB_macqueen1965some"/>
      <w:r>
        <w:rPr>
          <w:sz w:val="21"/>
          <w:szCs w:val="21"/>
        </w:rPr>
        <w:t>34</w:t>
      </w:r>
      <w:bookmarkEnd w:id="326"/>
      <w:bookmarkStart w:id="327" w:name="B4B_macqueen1965some"/>
      <w:bookmarkEnd w:id="327"/>
      <w:r>
        <w:rPr>
          <w:sz w:val="21"/>
          <w:szCs w:val="21"/>
        </w:rPr>
        <w:t>]</w:t>
      </w:r>
      <w:r>
        <w:rPr>
          <w:sz w:val="21"/>
          <w:szCs w:val="21"/>
        </w:rPr>
        <w:tab/>
      </w:r>
      <w:r>
        <w:rPr>
          <w:sz w:val="21"/>
          <w:szCs w:val="21"/>
        </w:rPr>
        <w:t>Macqueen J. Some Methods for Classification and Analysis of MultiVariate Observations[C]//Proc of Berkeley Symposium on Mathematical Statistics &amp; Probability , 1965.</w:t>
      </w:r>
    </w:p>
    <w:p>
      <w:pPr>
        <w:spacing w:line="320" w:lineRule="exact"/>
        <w:ind w:firstLine="0" w:firstLineChars="0"/>
        <w:rPr>
          <w:sz w:val="21"/>
          <w:szCs w:val="21"/>
        </w:rPr>
      </w:pPr>
      <w:r>
        <w:rPr>
          <w:sz w:val="21"/>
          <w:szCs w:val="21"/>
        </w:rPr>
        <w:t>[</w:t>
      </w:r>
      <w:bookmarkStart w:id="328" w:name="BIB_wang1997sting"/>
      <w:r>
        <w:rPr>
          <w:sz w:val="21"/>
          <w:szCs w:val="21"/>
        </w:rPr>
        <w:t>35</w:t>
      </w:r>
      <w:bookmarkEnd w:id="328"/>
      <w:bookmarkStart w:id="329" w:name="B4B_wang1997sting"/>
      <w:bookmarkEnd w:id="329"/>
      <w:r>
        <w:rPr>
          <w:sz w:val="21"/>
          <w:szCs w:val="21"/>
        </w:rPr>
        <w:t>]</w:t>
      </w:r>
      <w:r>
        <w:rPr>
          <w:sz w:val="21"/>
          <w:szCs w:val="21"/>
        </w:rPr>
        <w:tab/>
      </w:r>
      <w:r>
        <w:rPr>
          <w:sz w:val="21"/>
          <w:szCs w:val="21"/>
        </w:rPr>
        <w:t>Wang W, Yang J, Muntz R, et al. STING: A statistical information grid approach to spatial data mining[C]//VLDB , 1997，97:186–195.</w:t>
      </w:r>
    </w:p>
    <w:p>
      <w:pPr>
        <w:spacing w:line="320" w:lineRule="exact"/>
        <w:ind w:firstLine="0" w:firstLineChars="0"/>
        <w:rPr>
          <w:sz w:val="21"/>
          <w:szCs w:val="21"/>
        </w:rPr>
      </w:pPr>
      <w:r>
        <w:rPr>
          <w:sz w:val="21"/>
          <w:szCs w:val="21"/>
        </w:rPr>
        <w:t>[</w:t>
      </w:r>
      <w:bookmarkStart w:id="330" w:name="BIB_ester1996a"/>
      <w:r>
        <w:rPr>
          <w:sz w:val="21"/>
          <w:szCs w:val="21"/>
        </w:rPr>
        <w:t>36</w:t>
      </w:r>
      <w:bookmarkEnd w:id="330"/>
      <w:bookmarkStart w:id="331" w:name="B4B_ester1996a"/>
      <w:bookmarkEnd w:id="331"/>
      <w:r>
        <w:rPr>
          <w:sz w:val="21"/>
          <w:szCs w:val="21"/>
        </w:rPr>
        <w:t>]</w:t>
      </w:r>
      <w:r>
        <w:rPr>
          <w:sz w:val="21"/>
          <w:szCs w:val="21"/>
        </w:rPr>
        <w:tab/>
      </w:r>
      <w:r>
        <w:rPr>
          <w:sz w:val="21"/>
          <w:szCs w:val="21"/>
        </w:rPr>
        <w:t>Ester M, Kriegel H, Sander J, et al. A density-based algorithm for discovering clusters in large spatial Databases with Noise[J]. 1996:226–231.</w:t>
      </w:r>
    </w:p>
    <w:p>
      <w:pPr>
        <w:spacing w:line="320" w:lineRule="exact"/>
        <w:ind w:firstLine="0" w:firstLineChars="0"/>
        <w:rPr>
          <w:sz w:val="21"/>
          <w:szCs w:val="21"/>
        </w:rPr>
      </w:pPr>
      <w:r>
        <w:rPr>
          <w:sz w:val="21"/>
          <w:szCs w:val="21"/>
        </w:rPr>
        <w:t>[</w:t>
      </w:r>
      <w:bookmarkStart w:id="332" w:name="BIB_nakagawa2017coefficient"/>
      <w:r>
        <w:rPr>
          <w:sz w:val="21"/>
          <w:szCs w:val="21"/>
        </w:rPr>
        <w:t>37</w:t>
      </w:r>
      <w:bookmarkEnd w:id="332"/>
      <w:bookmarkStart w:id="333" w:name="B4B_nakagawa2017coefficient"/>
      <w:bookmarkEnd w:id="333"/>
      <w:r>
        <w:rPr>
          <w:sz w:val="21"/>
          <w:szCs w:val="21"/>
        </w:rPr>
        <w:t>]</w:t>
      </w:r>
      <w:r>
        <w:rPr>
          <w:sz w:val="21"/>
          <w:szCs w:val="21"/>
        </w:rPr>
        <w:tab/>
      </w:r>
      <w:r>
        <w:rPr>
          <w:sz w:val="21"/>
          <w:szCs w:val="21"/>
        </w:rPr>
        <w:t>Nakagawa S, Johnson P C, Schielzeth H. The coefficient of determination R 2 and intra-class correlation coefficient from generalized linear mixed-effects models revisited and expanded[J]. Journal of the Royal Society Interface, 2017, 14(134):20170213.</w:t>
      </w:r>
    </w:p>
    <w:p>
      <w:pPr>
        <w:spacing w:line="320" w:lineRule="exact"/>
        <w:ind w:firstLine="0" w:firstLineChars="0"/>
        <w:rPr>
          <w:sz w:val="21"/>
          <w:szCs w:val="21"/>
        </w:rPr>
      </w:pPr>
      <w:r>
        <w:rPr>
          <w:sz w:val="21"/>
          <w:szCs w:val="21"/>
        </w:rPr>
        <w:t>[</w:t>
      </w:r>
      <w:bookmarkStart w:id="334" w:name="BIB_rand1971objective"/>
      <w:r>
        <w:rPr>
          <w:sz w:val="21"/>
          <w:szCs w:val="21"/>
        </w:rPr>
        <w:t>38</w:t>
      </w:r>
      <w:bookmarkEnd w:id="334"/>
      <w:bookmarkStart w:id="335" w:name="B4B_rand1971objective"/>
      <w:bookmarkEnd w:id="335"/>
      <w:r>
        <w:rPr>
          <w:sz w:val="21"/>
          <w:szCs w:val="21"/>
        </w:rPr>
        <w:t>]</w:t>
      </w:r>
      <w:r>
        <w:rPr>
          <w:sz w:val="21"/>
          <w:szCs w:val="21"/>
        </w:rPr>
        <w:tab/>
      </w:r>
      <w:r>
        <w:rPr>
          <w:sz w:val="21"/>
          <w:szCs w:val="21"/>
        </w:rPr>
        <w:t>Rand W M. Objective criteria for the evaluation of clustering methods[J]. Journal of the American Statistical association, 1971, 66(336):846–850.</w:t>
      </w:r>
    </w:p>
    <w:p>
      <w:pPr>
        <w:spacing w:line="320" w:lineRule="exact"/>
        <w:ind w:firstLine="0" w:firstLineChars="0"/>
        <w:rPr>
          <w:sz w:val="21"/>
          <w:szCs w:val="21"/>
        </w:rPr>
      </w:pPr>
      <w:r>
        <w:rPr>
          <w:sz w:val="21"/>
          <w:szCs w:val="21"/>
        </w:rPr>
        <w:t>[</w:t>
      </w:r>
      <w:bookmarkStart w:id="336" w:name="BIB_suri2016most"/>
      <w:r>
        <w:rPr>
          <w:sz w:val="21"/>
          <w:szCs w:val="21"/>
        </w:rPr>
        <w:t>39</w:t>
      </w:r>
      <w:bookmarkEnd w:id="336"/>
      <w:bookmarkStart w:id="337" w:name="B4B_suri2016most"/>
      <w:bookmarkEnd w:id="337"/>
      <w:r>
        <w:rPr>
          <w:sz w:val="21"/>
          <w:szCs w:val="21"/>
        </w:rPr>
        <w:t>]</w:t>
      </w:r>
      <w:r>
        <w:rPr>
          <w:sz w:val="21"/>
          <w:szCs w:val="21"/>
        </w:rPr>
        <w:tab/>
      </w:r>
      <w:r>
        <w:rPr>
          <w:sz w:val="21"/>
          <w:szCs w:val="21"/>
        </w:rPr>
        <w:t>Suri S, Verbeek K. On the most likely voronoi diagram and nearest neighbor searching[J]. International Journal of Computational Geometry &amp; Applications, 2016, 26(03n04):151–166.</w:t>
      </w:r>
    </w:p>
    <w:p>
      <w:pPr>
        <w:spacing w:line="320" w:lineRule="exact"/>
        <w:ind w:firstLine="0" w:firstLineChars="0"/>
        <w:rPr>
          <w:sz w:val="21"/>
          <w:szCs w:val="21"/>
        </w:rPr>
      </w:pPr>
      <w:r>
        <w:rPr>
          <w:sz w:val="21"/>
          <w:szCs w:val="21"/>
        </w:rPr>
        <w:t>[</w:t>
      </w:r>
      <w:bookmarkStart w:id="338" w:name="BIB_monti1995folded"/>
      <w:r>
        <w:rPr>
          <w:sz w:val="21"/>
          <w:szCs w:val="21"/>
        </w:rPr>
        <w:t>40</w:t>
      </w:r>
      <w:bookmarkEnd w:id="338"/>
      <w:bookmarkStart w:id="339" w:name="B4B_monti1995folded"/>
      <w:bookmarkEnd w:id="339"/>
      <w:r>
        <w:rPr>
          <w:sz w:val="21"/>
          <w:szCs w:val="21"/>
        </w:rPr>
        <w:t>]</w:t>
      </w:r>
      <w:r>
        <w:rPr>
          <w:sz w:val="21"/>
          <w:szCs w:val="21"/>
        </w:rPr>
        <w:tab/>
      </w:r>
      <w:r>
        <w:rPr>
          <w:sz w:val="21"/>
          <w:szCs w:val="21"/>
        </w:rPr>
        <w:t>Monti K L. Folded empirical distribution function curves - mountain plots[J]. The American Statistician, 1995, 49(4):342–345.</w:t>
      </w:r>
    </w:p>
    <w:p>
      <w:pPr>
        <w:spacing w:line="320" w:lineRule="exact"/>
        <w:ind w:firstLine="0" w:firstLineChars="0"/>
        <w:rPr>
          <w:sz w:val="21"/>
          <w:szCs w:val="21"/>
        </w:rPr>
      </w:pPr>
      <w:r>
        <w:rPr>
          <w:sz w:val="21"/>
          <w:szCs w:val="21"/>
        </w:rPr>
        <w:t>[</w:t>
      </w:r>
      <w:bookmarkStart w:id="340" w:name="BIB_ord1972families"/>
      <w:r>
        <w:rPr>
          <w:sz w:val="21"/>
          <w:szCs w:val="21"/>
        </w:rPr>
        <w:t>41</w:t>
      </w:r>
      <w:bookmarkEnd w:id="340"/>
      <w:bookmarkStart w:id="341" w:name="B4B_ord1972families"/>
      <w:bookmarkEnd w:id="341"/>
      <w:r>
        <w:rPr>
          <w:sz w:val="21"/>
          <w:szCs w:val="21"/>
        </w:rPr>
        <w:t>]</w:t>
      </w:r>
      <w:r>
        <w:rPr>
          <w:sz w:val="21"/>
          <w:szCs w:val="21"/>
        </w:rPr>
        <w:tab/>
      </w:r>
      <w:r>
        <w:rPr>
          <w:sz w:val="21"/>
          <w:szCs w:val="21"/>
        </w:rPr>
        <w:t>Ord J K. Families of frequency distributions[J]. 1972.</w:t>
      </w:r>
    </w:p>
    <w:p>
      <w:pPr>
        <w:spacing w:line="320" w:lineRule="exact"/>
        <w:ind w:firstLine="0" w:firstLineChars="0"/>
        <w:rPr>
          <w:sz w:val="21"/>
          <w:szCs w:val="21"/>
        </w:rPr>
      </w:pPr>
      <w:r>
        <w:rPr>
          <w:sz w:val="21"/>
          <w:szCs w:val="21"/>
        </w:rPr>
        <w:t>[</w:t>
      </w:r>
      <w:bookmarkStart w:id="342" w:name="BIB_jaynes1957information"/>
      <w:r>
        <w:rPr>
          <w:sz w:val="21"/>
          <w:szCs w:val="21"/>
        </w:rPr>
        <w:t>42</w:t>
      </w:r>
      <w:bookmarkEnd w:id="342"/>
      <w:bookmarkStart w:id="343" w:name="B4B_jaynes1957information"/>
      <w:bookmarkEnd w:id="343"/>
      <w:r>
        <w:rPr>
          <w:sz w:val="21"/>
          <w:szCs w:val="21"/>
        </w:rPr>
        <w:t>]</w:t>
      </w:r>
      <w:r>
        <w:rPr>
          <w:sz w:val="21"/>
          <w:szCs w:val="21"/>
        </w:rPr>
        <w:tab/>
      </w:r>
      <w:r>
        <w:rPr>
          <w:sz w:val="21"/>
          <w:szCs w:val="21"/>
        </w:rPr>
        <w:t>Jaynes E T. Information theory and statistical mechanics[J]. Physical review, 1957, 106(4):620.</w:t>
      </w:r>
    </w:p>
    <w:p>
      <w:pPr>
        <w:spacing w:line="320" w:lineRule="exact"/>
        <w:ind w:firstLine="0" w:firstLineChars="0"/>
        <w:rPr>
          <w:sz w:val="21"/>
          <w:szCs w:val="21"/>
        </w:rPr>
      </w:pPr>
      <w:r>
        <w:rPr>
          <w:sz w:val="21"/>
          <w:szCs w:val="21"/>
        </w:rPr>
        <w:t>[</w:t>
      </w:r>
      <w:bookmarkStart w:id="344" w:name="BIB_chawla2002smote"/>
      <w:r>
        <w:rPr>
          <w:sz w:val="21"/>
          <w:szCs w:val="21"/>
        </w:rPr>
        <w:t>43</w:t>
      </w:r>
      <w:bookmarkEnd w:id="344"/>
      <w:bookmarkStart w:id="345" w:name="B4B_chawla2002smote"/>
      <w:bookmarkEnd w:id="345"/>
      <w:r>
        <w:rPr>
          <w:sz w:val="21"/>
          <w:szCs w:val="21"/>
        </w:rPr>
        <w:t>]</w:t>
      </w:r>
      <w:r>
        <w:rPr>
          <w:sz w:val="21"/>
          <w:szCs w:val="21"/>
        </w:rPr>
        <w:tab/>
      </w:r>
      <w:r>
        <w:rPr>
          <w:sz w:val="21"/>
          <w:szCs w:val="21"/>
        </w:rPr>
        <w:t>Chawla N V, Bowyer K W, Hall L O, et al. SMOTE: synthetic minority over-sampling technique[J]. Journal of artificial intelligence research, 2002, 16:321–357.</w:t>
      </w:r>
    </w:p>
    <w:bookmarkEnd w:id="259"/>
    <w:p>
      <w:pPr>
        <w:pStyle w:val="29"/>
        <w:ind w:left="420" w:firstLine="420"/>
        <w:rPr>
          <w:color w:val="FF0000"/>
          <w:szCs w:val="21"/>
        </w:rPr>
        <w:sectPr>
          <w:headerReference r:id="rId23" w:type="default"/>
          <w:footerReference r:id="rId24" w:type="default"/>
          <w:pgSz w:w="11906" w:h="16838"/>
          <w:pgMar w:top="1701" w:right="1418" w:bottom="1418" w:left="1418" w:header="907" w:footer="851" w:gutter="0"/>
          <w:cols w:space="720" w:num="1"/>
          <w:formProt w:val="0"/>
          <w:docGrid w:type="lines" w:linePitch="312" w:charSpace="0"/>
        </w:sectPr>
      </w:pPr>
    </w:p>
    <w:p>
      <w:pPr>
        <w:widowControl/>
        <w:snapToGrid/>
        <w:spacing w:line="240" w:lineRule="auto"/>
        <w:ind w:firstLine="420"/>
        <w:jc w:val="left"/>
        <w:rPr>
          <w:sz w:val="21"/>
          <w:szCs w:val="21"/>
        </w:rPr>
      </w:pPr>
    </w:p>
    <w:p>
      <w:pPr>
        <w:pStyle w:val="42"/>
      </w:pPr>
      <w:bookmarkStart w:id="346" w:name="_Toc512421884"/>
      <w:bookmarkStart w:id="347" w:name="_Toc507493747"/>
      <w:bookmarkStart w:id="348" w:name="_Toc6320134"/>
      <w:bookmarkStart w:id="349" w:name="_Toc7858044"/>
      <w:r>
        <w:t>作者简历及攻读硕士学位期间取得的研究成果</w:t>
      </w:r>
      <w:bookmarkEnd w:id="346"/>
      <w:bookmarkEnd w:id="347"/>
      <w:bookmarkEnd w:id="348"/>
      <w:bookmarkEnd w:id="349"/>
    </w:p>
    <w:p>
      <w:pPr>
        <w:pStyle w:val="29"/>
        <w:ind w:firstLine="420"/>
        <w:rPr>
          <w:szCs w:val="21"/>
        </w:rPr>
      </w:pPr>
      <w:r>
        <w:rPr>
          <w:szCs w:val="21"/>
        </w:rPr>
        <w:t>一、作者简历</w:t>
      </w:r>
    </w:p>
    <w:p>
      <w:pPr>
        <w:pStyle w:val="29"/>
        <w:ind w:firstLine="420"/>
        <w:rPr>
          <w:szCs w:val="21"/>
        </w:rPr>
      </w:pPr>
      <w:r>
        <w:rPr>
          <w:szCs w:val="21"/>
        </w:rPr>
        <w:t>苏健，男，1994年6月生。2012年6月至2016年7月就读于安徽农业大学信息与计算机学院电子信息工程专业，取得工学学士学位。2017年9月至2019年6月就读于北京交通大学电子与通信工程专业，研究方向是信息安全，取得工学硕士学位。攻读硕士学位期间，主要从事交通时序预测，数据分析与模式挖掘等研究工作。</w:t>
      </w:r>
    </w:p>
    <w:p>
      <w:pPr>
        <w:pStyle w:val="29"/>
        <w:spacing w:line="400" w:lineRule="exact"/>
        <w:ind w:firstLine="420"/>
        <w:rPr>
          <w:szCs w:val="21"/>
        </w:rPr>
      </w:pPr>
      <w:r>
        <w:rPr>
          <w:rFonts w:hint="eastAsia"/>
          <w:szCs w:val="21"/>
        </w:rPr>
        <w:t>二、参与科研项目</w:t>
      </w:r>
    </w:p>
    <w:p>
      <w:pPr>
        <w:ind w:firstLine="480"/>
      </w:pPr>
      <w:r>
        <w:rPr>
          <w:rFonts w:hint="eastAsia"/>
        </w:rPr>
        <w:t>[</w:t>
      </w:r>
      <w:r>
        <w:t>1]</w:t>
      </w:r>
      <w:r>
        <w:rPr>
          <w:rFonts w:hint="eastAsia"/>
        </w:rPr>
        <w:t xml:space="preserve">贵州省交通厅交通流量预测 </w:t>
      </w:r>
    </w:p>
    <w:p>
      <w:pPr>
        <w:ind w:firstLine="480"/>
      </w:pPr>
      <w:r>
        <w:rPr>
          <w:rFonts w:hint="eastAsia"/>
        </w:rPr>
        <w:t>[2</w:t>
      </w:r>
      <w:r>
        <w:t>]</w:t>
      </w:r>
      <w:r>
        <w:rPr>
          <w:rFonts w:hint="eastAsia"/>
        </w:rPr>
        <w:t>联通网络技术研究院用户NPS预测</w:t>
      </w:r>
    </w:p>
    <w:p>
      <w:pPr>
        <w:pStyle w:val="28"/>
        <w:jc w:val="both"/>
        <w:sectPr>
          <w:headerReference r:id="rId25" w:type="default"/>
          <w:footerReference r:id="rId26" w:type="default"/>
          <w:pgSz w:w="11906" w:h="16838"/>
          <w:pgMar w:top="1701" w:right="1418" w:bottom="1418" w:left="1418" w:header="907" w:footer="851" w:gutter="0"/>
          <w:cols w:space="720" w:num="1"/>
          <w:formProt w:val="0"/>
          <w:docGrid w:type="lines" w:linePitch="312" w:charSpace="0"/>
        </w:sectPr>
      </w:pPr>
    </w:p>
    <w:p>
      <w:pPr>
        <w:pStyle w:val="42"/>
      </w:pPr>
      <w:bookmarkStart w:id="350" w:name="_Toc6320135"/>
      <w:bookmarkStart w:id="351" w:name="_Toc512421885"/>
      <w:bookmarkStart w:id="352" w:name="_Toc507493748"/>
      <w:bookmarkStart w:id="353" w:name="_Toc7858045"/>
      <w:r>
        <w:t>独创性声明</w:t>
      </w:r>
      <w:bookmarkEnd w:id="350"/>
      <w:bookmarkEnd w:id="351"/>
      <w:bookmarkEnd w:id="352"/>
      <w:bookmarkEnd w:id="353"/>
    </w:p>
    <w:p>
      <w:pPr>
        <w:spacing w:line="320" w:lineRule="exact"/>
        <w:ind w:firstLine="420"/>
        <w:rPr>
          <w:sz w:val="21"/>
          <w:szCs w:val="21"/>
        </w:rPr>
      </w:pPr>
      <w:r>
        <w:rPr>
          <w:sz w:val="21"/>
          <w:szCs w:val="21"/>
        </w:rPr>
        <w:t>本人声明所呈交的学位论文是本人在导师指导下进行的研究工作和取得的研究成果，除了文中特别加以标注和致谢之处外，论文中不包含其他人已经发表或撰写过的研究成果，也不包含为获得北京交通大学或其他教育机构的学位或证书而使用过的材料。与我一同工作的同志对本研究所做的任何贡献均已在论文中作了明确的说明并表示了谢意。</w:t>
      </w:r>
    </w:p>
    <w:p>
      <w:pPr>
        <w:spacing w:line="320" w:lineRule="exact"/>
        <w:ind w:firstLine="420"/>
        <w:rPr>
          <w:sz w:val="21"/>
          <w:szCs w:val="21"/>
        </w:rPr>
      </w:pPr>
    </w:p>
    <w:p>
      <w:pPr>
        <w:spacing w:line="320" w:lineRule="exact"/>
        <w:ind w:firstLine="420"/>
        <w:rPr>
          <w:sz w:val="21"/>
          <w:szCs w:val="21"/>
        </w:rPr>
      </w:pPr>
    </w:p>
    <w:p>
      <w:pPr>
        <w:spacing w:line="320" w:lineRule="exact"/>
        <w:ind w:firstLine="420"/>
        <w:rPr>
          <w:sz w:val="21"/>
          <w:szCs w:val="21"/>
        </w:rPr>
      </w:pPr>
    </w:p>
    <w:p>
      <w:pPr>
        <w:spacing w:line="320" w:lineRule="exact"/>
        <w:ind w:firstLine="420"/>
        <w:rPr>
          <w:sz w:val="21"/>
          <w:szCs w:val="21"/>
        </w:rPr>
      </w:pPr>
      <w:r>
        <w:rPr>
          <w:sz w:val="21"/>
          <w:szCs w:val="21"/>
        </w:rPr>
        <w:t>学位论文作者签名：             签字日期：        年    月    日</w:t>
      </w:r>
    </w:p>
    <w:p>
      <w:pPr>
        <w:ind w:firstLine="480"/>
      </w:pPr>
    </w:p>
    <w:p>
      <w:pPr>
        <w:ind w:firstLine="480"/>
        <w:sectPr>
          <w:headerReference r:id="rId27" w:type="default"/>
          <w:footerReference r:id="rId28" w:type="default"/>
          <w:pgSz w:w="11906" w:h="16838"/>
          <w:pgMar w:top="1701" w:right="1418" w:bottom="1418" w:left="1418" w:header="907" w:footer="851" w:gutter="0"/>
          <w:cols w:space="720" w:num="1"/>
          <w:formProt w:val="0"/>
          <w:docGrid w:type="lines" w:linePitch="312" w:charSpace="0"/>
        </w:sectPr>
      </w:pPr>
    </w:p>
    <w:p>
      <w:pPr>
        <w:pStyle w:val="42"/>
      </w:pPr>
      <w:bookmarkStart w:id="354" w:name="_Toc385762761"/>
      <w:bookmarkStart w:id="355" w:name="_Toc385763039"/>
      <w:bookmarkStart w:id="356" w:name="_Toc512421886"/>
      <w:bookmarkStart w:id="357" w:name="_Toc385763111"/>
      <w:bookmarkStart w:id="358" w:name="_Toc7858046"/>
      <w:bookmarkStart w:id="359" w:name="_Toc385763071"/>
      <w:bookmarkStart w:id="360" w:name="_Toc385763169"/>
      <w:bookmarkStart w:id="361" w:name="_Toc6320136"/>
      <w:bookmarkStart w:id="362" w:name="_Toc507493749"/>
      <w:r>
        <w:t>学位论文数据集</w:t>
      </w:r>
      <w:bookmarkEnd w:id="354"/>
      <w:bookmarkEnd w:id="355"/>
      <w:bookmarkEnd w:id="356"/>
      <w:bookmarkEnd w:id="357"/>
      <w:bookmarkEnd w:id="358"/>
      <w:bookmarkEnd w:id="359"/>
      <w:bookmarkEnd w:id="360"/>
      <w:bookmarkEnd w:id="361"/>
      <w:bookmarkEnd w:id="362"/>
    </w:p>
    <w:p>
      <w:pPr>
        <w:pStyle w:val="33"/>
      </w:pPr>
      <w:r>
        <w:t>表1.1： 数据集页</w:t>
      </w:r>
    </w:p>
    <w:tbl>
      <w:tblPr>
        <w:tblStyle w:val="24"/>
        <w:tblW w:w="894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4"/>
        <w:gridCol w:w="1744"/>
        <w:gridCol w:w="1744"/>
        <w:gridCol w:w="1964"/>
        <w:gridCol w:w="1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关键词*</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密级*</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中图分类号</w:t>
            </w:r>
          </w:p>
        </w:tc>
        <w:tc>
          <w:tcPr>
            <w:tcW w:w="1964" w:type="dxa"/>
            <w:tcBorders>
              <w:top w:val="single" w:color="000000" w:sz="4" w:space="0"/>
              <w:left w:val="single" w:color="000000" w:sz="4" w:space="0"/>
              <w:bottom w:val="single" w:color="000000" w:sz="4" w:space="0"/>
              <w:right w:val="single" w:color="000000" w:sz="4" w:space="0"/>
            </w:tcBorders>
          </w:tcPr>
          <w:p>
            <w:pPr>
              <w:pStyle w:val="29"/>
              <w:ind w:firstLine="420"/>
            </w:pPr>
            <w:r>
              <w:t>UDC</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论文资助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网络测量</w:t>
            </w:r>
            <w:r>
              <w:rPr>
                <w:rFonts w:hint="eastAsia"/>
              </w:rPr>
              <w:t>，</w:t>
            </w:r>
            <w:r>
              <w:t>模式提取</w:t>
            </w:r>
            <w:r>
              <w:rPr>
                <w:rFonts w:hint="eastAsia"/>
              </w:rPr>
              <w:t>、</w:t>
            </w:r>
            <w:r>
              <w:t>预测</w:t>
            </w:r>
            <w:r>
              <w:rPr>
                <w:rFonts w:hint="eastAsia"/>
              </w:rPr>
              <w:t>、</w:t>
            </w:r>
            <w:r>
              <w:t>机器学习</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rPr>
                <w:rFonts w:hint="eastAsia" w:eastAsia="宋体"/>
                <w:lang w:val="en-US" w:eastAsia="zh-CN"/>
              </w:rPr>
            </w:pPr>
            <w:r>
              <w:rPr>
                <w:rFonts w:hint="eastAsia"/>
                <w:lang w:val="en-US" w:eastAsia="zh-CN"/>
              </w:rPr>
              <w:t>公开</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p>
        </w:tc>
        <w:tc>
          <w:tcPr>
            <w:tcW w:w="1964" w:type="dxa"/>
            <w:tcBorders>
              <w:top w:val="single" w:color="000000" w:sz="4" w:space="0"/>
              <w:left w:val="single" w:color="000000" w:sz="4" w:space="0"/>
              <w:bottom w:val="single" w:color="000000" w:sz="4" w:space="0"/>
              <w:right w:val="single" w:color="000000" w:sz="4" w:space="0"/>
            </w:tcBorders>
          </w:tcPr>
          <w:p>
            <w:pPr>
              <w:pStyle w:val="29"/>
              <w:ind w:firstLine="420"/>
            </w:pP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t>学位授予单位名称*</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学位授予单位代码*</w:t>
            </w:r>
          </w:p>
        </w:tc>
        <w:tc>
          <w:tcPr>
            <w:tcW w:w="1964" w:type="dxa"/>
            <w:tcBorders>
              <w:top w:val="single" w:color="000000" w:sz="4" w:space="0"/>
              <w:left w:val="single" w:color="000000" w:sz="4" w:space="0"/>
              <w:bottom w:val="single" w:color="000000" w:sz="4" w:space="0"/>
              <w:right w:val="single" w:color="000000" w:sz="4" w:space="0"/>
            </w:tcBorders>
          </w:tcPr>
          <w:p>
            <w:pPr>
              <w:pStyle w:val="29"/>
              <w:ind w:firstLine="420"/>
            </w:pPr>
            <w:r>
              <w:t>学位类别*</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学位级别*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t>北京交通大学</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10004</w:t>
            </w:r>
          </w:p>
        </w:tc>
        <w:tc>
          <w:tcPr>
            <w:tcW w:w="1964" w:type="dxa"/>
            <w:tcBorders>
              <w:top w:val="single" w:color="000000" w:sz="4" w:space="0"/>
              <w:left w:val="single" w:color="000000" w:sz="4" w:space="0"/>
              <w:bottom w:val="single" w:color="000000" w:sz="4" w:space="0"/>
              <w:right w:val="single" w:color="000000" w:sz="4" w:space="0"/>
            </w:tcBorders>
          </w:tcPr>
          <w:p>
            <w:pPr>
              <w:pStyle w:val="29"/>
              <w:ind w:firstLine="420"/>
              <w:rPr>
                <w:rFonts w:hint="default" w:eastAsia="宋体"/>
                <w:lang w:val="en-US" w:eastAsia="zh-CN"/>
              </w:rPr>
            </w:pPr>
            <w:r>
              <w:rPr>
                <w:rFonts w:hint="eastAsia"/>
                <w:lang w:val="en-US" w:eastAsia="zh-CN"/>
              </w:rPr>
              <w:t>工程硕士专业学位</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硕士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t>论文题名*</w:t>
            </w:r>
          </w:p>
        </w:tc>
        <w:tc>
          <w:tcPr>
            <w:tcW w:w="370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t>并列题名</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论文语种*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0" w:firstLineChars="0"/>
            </w:pPr>
            <w:r>
              <w:rPr>
                <w:rFonts w:hint="eastAsia"/>
              </w:rPr>
              <w:t>大规模基站网络</w:t>
            </w:r>
            <w:r>
              <w:t>流量模式挖掘和</w:t>
            </w:r>
            <w:r>
              <w:rPr>
                <w:rFonts w:hint="eastAsia"/>
              </w:rPr>
              <w:t>预测</w:t>
            </w:r>
          </w:p>
        </w:tc>
        <w:tc>
          <w:tcPr>
            <w:tcW w:w="3708" w:type="dxa"/>
            <w:gridSpan w:val="2"/>
            <w:tcBorders>
              <w:top w:val="single" w:color="000000" w:sz="4" w:space="0"/>
              <w:left w:val="single" w:color="000000" w:sz="4" w:space="0"/>
              <w:bottom w:val="single" w:color="000000" w:sz="4" w:space="0"/>
              <w:right w:val="single" w:color="000000" w:sz="4" w:space="0"/>
            </w:tcBorders>
          </w:tcPr>
          <w:p>
            <w:pPr>
              <w:pStyle w:val="29"/>
              <w:ind w:firstLine="420"/>
            </w:pP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中文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作者姓名*</w:t>
            </w:r>
          </w:p>
        </w:tc>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t>苏健</w:t>
            </w:r>
          </w:p>
        </w:tc>
        <w:tc>
          <w:tcPr>
            <w:tcW w:w="1964" w:type="dxa"/>
            <w:tcBorders>
              <w:top w:val="single" w:color="000000" w:sz="4" w:space="0"/>
              <w:left w:val="single" w:color="000000" w:sz="4" w:space="0"/>
              <w:bottom w:val="single" w:color="000000" w:sz="4" w:space="0"/>
              <w:right w:val="single" w:color="000000" w:sz="4" w:space="0"/>
            </w:tcBorders>
          </w:tcPr>
          <w:p>
            <w:pPr>
              <w:pStyle w:val="29"/>
              <w:ind w:firstLine="420"/>
            </w:pPr>
            <w:r>
              <w:t>学号*</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17125052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pPr>
            <w:bookmarkStart w:id="367" w:name="_GoBack"/>
            <w:r>
              <w:t>培养单位名称*</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培养单位代码*</w:t>
            </w:r>
          </w:p>
        </w:tc>
        <w:tc>
          <w:tcPr>
            <w:tcW w:w="1964" w:type="dxa"/>
            <w:tcBorders>
              <w:top w:val="single" w:color="000000" w:sz="4" w:space="0"/>
              <w:left w:val="single" w:color="000000" w:sz="4" w:space="0"/>
              <w:bottom w:val="single" w:color="000000" w:sz="4" w:space="0"/>
              <w:right w:val="single" w:color="000000" w:sz="4" w:space="0"/>
            </w:tcBorders>
          </w:tcPr>
          <w:p>
            <w:pPr>
              <w:pStyle w:val="29"/>
              <w:ind w:firstLine="420"/>
            </w:pPr>
            <w:r>
              <w:t>培养单位地址</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邮编</w:t>
            </w:r>
          </w:p>
        </w:tc>
      </w:tr>
      <w:bookmarkEnd w:id="367"/>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t>北京交通大学</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10004</w:t>
            </w:r>
          </w:p>
        </w:tc>
        <w:tc>
          <w:tcPr>
            <w:tcW w:w="1964" w:type="dxa"/>
            <w:tcBorders>
              <w:top w:val="single" w:color="000000" w:sz="4" w:space="0"/>
              <w:left w:val="single" w:color="000000" w:sz="4" w:space="0"/>
              <w:bottom w:val="single" w:color="000000" w:sz="4" w:space="0"/>
              <w:right w:val="single" w:color="000000" w:sz="4" w:space="0"/>
            </w:tcBorders>
          </w:tcPr>
          <w:p>
            <w:pPr>
              <w:pStyle w:val="29"/>
              <w:ind w:firstLine="420"/>
            </w:pPr>
            <w:r>
              <w:t>北京市海淀区西直门外上园村3号</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100044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t>学科专业*</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研究方向*</w:t>
            </w:r>
          </w:p>
        </w:tc>
        <w:tc>
          <w:tcPr>
            <w:tcW w:w="1964" w:type="dxa"/>
            <w:tcBorders>
              <w:top w:val="single" w:color="000000" w:sz="4" w:space="0"/>
              <w:left w:val="single" w:color="000000" w:sz="4" w:space="0"/>
              <w:bottom w:val="single" w:color="000000" w:sz="4" w:space="0"/>
              <w:right w:val="single" w:color="000000" w:sz="4" w:space="0"/>
            </w:tcBorders>
          </w:tcPr>
          <w:p>
            <w:pPr>
              <w:pStyle w:val="29"/>
              <w:ind w:firstLine="420"/>
            </w:pPr>
            <w:r>
              <w:t>学制*</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学位授予年*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rPr>
                <w:rFonts w:hint="eastAsia"/>
              </w:rPr>
              <w:t>电子与通信工程</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信息网络</w:t>
            </w:r>
          </w:p>
        </w:tc>
        <w:tc>
          <w:tcPr>
            <w:tcW w:w="1964" w:type="dxa"/>
            <w:tcBorders>
              <w:top w:val="single" w:color="000000" w:sz="4" w:space="0"/>
              <w:left w:val="single" w:color="000000" w:sz="4" w:space="0"/>
              <w:bottom w:val="single" w:color="000000" w:sz="4" w:space="0"/>
              <w:right w:val="single" w:color="000000" w:sz="4" w:space="0"/>
            </w:tcBorders>
          </w:tcPr>
          <w:p>
            <w:pPr>
              <w:pStyle w:val="29"/>
              <w:ind w:firstLine="420"/>
            </w:pPr>
            <w:r>
              <w:t>2</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论文提交日期*</w:t>
            </w:r>
          </w:p>
        </w:tc>
        <w:tc>
          <w:tcPr>
            <w:tcW w:w="7196" w:type="dxa"/>
            <w:gridSpan w:val="4"/>
            <w:tcBorders>
              <w:top w:val="single" w:color="000000" w:sz="4" w:space="0"/>
              <w:left w:val="single" w:color="000000" w:sz="4" w:space="0"/>
              <w:bottom w:val="single" w:color="000000" w:sz="4" w:space="0"/>
              <w:right w:val="single" w:color="000000" w:sz="4" w:space="0"/>
            </w:tcBorders>
          </w:tcPr>
          <w:p>
            <w:pPr>
              <w:pStyle w:val="29"/>
              <w:ind w:firstLine="420"/>
              <w:rPr>
                <w:rFonts w:hint="default" w:eastAsia="宋体"/>
                <w:lang w:val="en-US" w:eastAsia="zh-CN"/>
              </w:rPr>
            </w:pPr>
            <w:r>
              <w:t>2019.0</w:t>
            </w:r>
            <w:r>
              <w:rPr>
                <w:rFonts w:hint="eastAsia"/>
                <w:lang w:val="en-US" w:eastAsia="zh-CN"/>
              </w:rPr>
              <w:t>6.03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导师姓名*</w:t>
            </w:r>
          </w:p>
        </w:tc>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t>陈一帅</w:t>
            </w:r>
          </w:p>
        </w:tc>
        <w:tc>
          <w:tcPr>
            <w:tcW w:w="1964" w:type="dxa"/>
            <w:tcBorders>
              <w:top w:val="single" w:color="000000" w:sz="4" w:space="0"/>
              <w:left w:val="single" w:color="000000" w:sz="4" w:space="0"/>
              <w:bottom w:val="single" w:color="000000" w:sz="4" w:space="0"/>
              <w:right w:val="single" w:color="000000" w:sz="4" w:space="0"/>
            </w:tcBorders>
          </w:tcPr>
          <w:p>
            <w:pPr>
              <w:pStyle w:val="29"/>
              <w:ind w:firstLine="420"/>
            </w:pPr>
            <w:r>
              <w:t>职称*</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副教授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评阅人</w:t>
            </w:r>
          </w:p>
        </w:tc>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t>答辩委员会主席*</w:t>
            </w:r>
          </w:p>
        </w:tc>
        <w:tc>
          <w:tcPr>
            <w:tcW w:w="370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t>答辩委员会成员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p>
          <w:p>
            <w:pPr>
              <w:pStyle w:val="29"/>
              <w:ind w:firstLine="420"/>
            </w:pPr>
          </w:p>
        </w:tc>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rPr>
                <w:rFonts w:hint="eastAsia" w:eastAsia="宋体"/>
                <w:lang w:val="en-US" w:eastAsia="zh-CN"/>
              </w:rPr>
            </w:pPr>
            <w:r>
              <w:rPr>
                <w:rFonts w:hint="eastAsia"/>
                <w:lang w:val="en-US" w:eastAsia="zh-CN"/>
              </w:rPr>
              <w:t>郭宇春</w:t>
            </w:r>
          </w:p>
        </w:tc>
        <w:tc>
          <w:tcPr>
            <w:tcW w:w="3708" w:type="dxa"/>
            <w:gridSpan w:val="2"/>
            <w:tcBorders>
              <w:top w:val="single" w:color="000000" w:sz="4" w:space="0"/>
              <w:left w:val="single" w:color="000000" w:sz="4" w:space="0"/>
              <w:bottom w:val="single" w:color="000000" w:sz="4" w:space="0"/>
              <w:right w:val="single" w:color="000000" w:sz="4" w:space="0"/>
            </w:tcBorders>
          </w:tcPr>
          <w:p>
            <w:pPr>
              <w:pStyle w:val="29"/>
              <w:ind w:firstLine="420"/>
            </w:pPr>
          </w:p>
          <w:p>
            <w:pPr>
              <w:pStyle w:val="29"/>
              <w:ind w:firstLine="42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8940" w:type="dxa"/>
            <w:gridSpan w:val="5"/>
            <w:tcBorders>
              <w:top w:val="single" w:color="000000" w:sz="4" w:space="0"/>
              <w:left w:val="single" w:color="000000" w:sz="4" w:space="0"/>
              <w:bottom w:val="single" w:color="000000" w:sz="4" w:space="0"/>
              <w:right w:val="single" w:color="000000" w:sz="4" w:space="0"/>
            </w:tcBorders>
          </w:tcPr>
          <w:p>
            <w:pPr>
              <w:pStyle w:val="29"/>
              <w:ind w:firstLine="420"/>
            </w:pPr>
            <w:r>
              <w:t>电子版论文提交格式  文本( )  图像( ) 视频( ) 音频( ) 多媒体( ) 其他( )</w:t>
            </w:r>
            <w:r>
              <w:br w:type="textWrapping"/>
            </w:r>
            <w:r>
              <w:t>推荐格式：application/msword；application/pdf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t>电子版论文出版(发布)者</w:t>
            </w:r>
          </w:p>
        </w:tc>
        <w:tc>
          <w:tcPr>
            <w:tcW w:w="3708" w:type="dxa"/>
            <w:gridSpan w:val="2"/>
            <w:tcBorders>
              <w:top w:val="single" w:color="000000" w:sz="4" w:space="0"/>
              <w:left w:val="single" w:color="000000" w:sz="4" w:space="0"/>
              <w:bottom w:val="single" w:color="000000" w:sz="4" w:space="0"/>
              <w:right w:val="single" w:color="000000" w:sz="4" w:space="0"/>
            </w:tcBorders>
          </w:tcPr>
          <w:p>
            <w:pPr>
              <w:pStyle w:val="29"/>
              <w:ind w:firstLine="420"/>
            </w:pPr>
            <w:r>
              <w:t>电子版论文出版(发布)地</w:t>
            </w: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权限声明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3488" w:type="dxa"/>
            <w:gridSpan w:val="2"/>
            <w:tcBorders>
              <w:top w:val="single" w:color="000000" w:sz="4" w:space="0"/>
              <w:left w:val="single" w:color="000000" w:sz="4" w:space="0"/>
              <w:bottom w:val="single" w:color="000000" w:sz="4" w:space="0"/>
              <w:right w:val="single" w:color="000000" w:sz="4" w:space="0"/>
            </w:tcBorders>
          </w:tcPr>
          <w:p>
            <w:pPr>
              <w:pStyle w:val="29"/>
              <w:ind w:firstLine="420"/>
            </w:pPr>
          </w:p>
        </w:tc>
        <w:tc>
          <w:tcPr>
            <w:tcW w:w="3708" w:type="dxa"/>
            <w:gridSpan w:val="2"/>
            <w:tcBorders>
              <w:top w:val="single" w:color="000000" w:sz="4" w:space="0"/>
              <w:left w:val="single" w:color="000000" w:sz="4" w:space="0"/>
              <w:bottom w:val="single" w:color="000000" w:sz="4" w:space="0"/>
              <w:right w:val="single" w:color="000000" w:sz="4" w:space="0"/>
            </w:tcBorders>
          </w:tcPr>
          <w:p>
            <w:pPr>
              <w:pStyle w:val="29"/>
              <w:ind w:firstLine="420"/>
            </w:pPr>
          </w:p>
        </w:tc>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1744" w:type="dxa"/>
            <w:tcBorders>
              <w:top w:val="single" w:color="000000" w:sz="4" w:space="0"/>
              <w:left w:val="single" w:color="000000" w:sz="4" w:space="0"/>
              <w:bottom w:val="single" w:color="000000" w:sz="4" w:space="0"/>
              <w:right w:val="single" w:color="000000" w:sz="4" w:space="0"/>
            </w:tcBorders>
          </w:tcPr>
          <w:p>
            <w:pPr>
              <w:pStyle w:val="29"/>
              <w:ind w:firstLine="420"/>
            </w:pPr>
            <w:r>
              <w:t>论文总页数*</w:t>
            </w:r>
          </w:p>
        </w:tc>
        <w:tc>
          <w:tcPr>
            <w:tcW w:w="7196" w:type="dxa"/>
            <w:gridSpan w:val="4"/>
            <w:tcBorders>
              <w:top w:val="single" w:color="000000" w:sz="4" w:space="0"/>
              <w:left w:val="single" w:color="000000" w:sz="4" w:space="0"/>
              <w:bottom w:val="single" w:color="000000" w:sz="4" w:space="0"/>
              <w:right w:val="single" w:color="000000" w:sz="4" w:space="0"/>
            </w:tcBorders>
          </w:tcPr>
          <w:p>
            <w:pPr>
              <w:pStyle w:val="29"/>
              <w:ind w:firstLine="420"/>
            </w:pPr>
            <w:r>
              <w:rPr>
                <w:rFonts w:hint="eastAsia"/>
              </w:rPr>
              <w:t>4</w:t>
            </w:r>
            <w:r>
              <w:t>7</w:t>
            </w:r>
            <w:r>
              <w:rPr>
                <w:rFonts w:hint="eastAsia"/>
              </w:rPr>
              <w:t>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8940" w:type="dxa"/>
            <w:gridSpan w:val="5"/>
            <w:tcBorders>
              <w:top w:val="single" w:color="000000" w:sz="4" w:space="0"/>
              <w:left w:val="single" w:color="000000" w:sz="4" w:space="0"/>
              <w:bottom w:val="single" w:color="000000" w:sz="4" w:space="0"/>
              <w:right w:val="single" w:color="000000" w:sz="4" w:space="0"/>
            </w:tcBorders>
          </w:tcPr>
          <w:p>
            <w:pPr>
              <w:pStyle w:val="29"/>
              <w:ind w:firstLine="420"/>
            </w:pPr>
            <w:r>
              <w:t>共33项，其中带*为必填数据，为21项。</w:t>
            </w:r>
          </w:p>
        </w:tc>
      </w:tr>
    </w:tbl>
    <w:p>
      <w:pPr>
        <w:ind w:left="200" w:firstLine="480"/>
      </w:pPr>
      <w:bookmarkStart w:id="363" w:name="_Hlk512521305"/>
      <w:bookmarkEnd w:id="363"/>
      <w:r>
        <w:drawing>
          <wp:anchor distT="0" distB="10160" distL="114300" distR="125730" simplePos="0" relativeHeight="251644928" behindDoc="0" locked="0" layoutInCell="1" allowOverlap="1">
            <wp:simplePos x="0" y="0"/>
            <wp:positionH relativeFrom="column">
              <wp:posOffset>2395220</wp:posOffset>
            </wp:positionH>
            <wp:positionV relativeFrom="paragraph">
              <wp:posOffset>8511540</wp:posOffset>
            </wp:positionV>
            <wp:extent cx="1785620" cy="1359535"/>
            <wp:effectExtent l="0" t="0" r="5080" b="12065"/>
            <wp:wrapNone/>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68"/>
                    <a:stretch>
                      <a:fillRect/>
                    </a:stretch>
                  </pic:blipFill>
                  <pic:spPr>
                    <a:xfrm>
                      <a:off x="0" y="0"/>
                      <a:ext cx="1785620" cy="1359535"/>
                    </a:xfrm>
                    <a:prstGeom prst="rect">
                      <a:avLst/>
                    </a:prstGeom>
                    <a:noFill/>
                    <a:ln>
                      <a:noFill/>
                    </a:ln>
                  </pic:spPr>
                </pic:pic>
              </a:graphicData>
            </a:graphic>
          </wp:anchor>
        </w:drawing>
      </w:r>
      <w:bookmarkEnd w:id="65"/>
      <w:bookmarkEnd w:id="66"/>
      <w:bookmarkEnd w:id="67"/>
      <w:bookmarkEnd w:id="68"/>
    </w:p>
    <w:sectPr>
      <w:headerReference r:id="rId29" w:type="default"/>
      <w:footerReference r:id="rId30" w:type="default"/>
      <w:pgSz w:w="11907" w:h="16840"/>
      <w:pgMar w:top="1701" w:right="1418" w:bottom="1418" w:left="1418" w:header="907" w:footer="851" w:gutter="567"/>
      <w:paperSrc w:first="31096" w:other="31096"/>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PAGE</w:instrText>
    </w:r>
    <w:r>
      <w:fldChar w:fldCharType="separate"/>
    </w:r>
    <w:r>
      <w:t>49</w:t>
    </w:r>
    <w:r>
      <w:fldChar w:fldCharType="end"/>
    </w:r>
  </w:p>
  <w:p>
    <w:pPr>
      <w:ind w:firstLine="48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 PAGE  \* MERGEFORMAT </w:instrText>
    </w:r>
    <w:r>
      <w:fldChar w:fldCharType="separate"/>
    </w:r>
    <w:r>
      <w:t>50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rPr>
        <w:rStyle w:val="26"/>
      </w:rPr>
      <w:instrText xml:space="preserve"> PAGE </w:instrText>
    </w:r>
    <w:r>
      <w:fldChar w:fldCharType="separate"/>
    </w:r>
    <w:r>
      <w:rPr>
        <w:rStyle w:val="26"/>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rPr>
        <w:rStyle w:val="26"/>
      </w:rPr>
      <w:instrText xml:space="preserve"> PAGE </w:instrText>
    </w:r>
    <w:r>
      <w:fldChar w:fldCharType="separate"/>
    </w:r>
    <w:r>
      <w:rPr>
        <w:rStyle w:val="26"/>
      </w:rPr>
      <w:t>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PAGE</w:instrText>
    </w:r>
    <w:r>
      <w:fldChar w:fldCharType="separate"/>
    </w:r>
    <w:r>
      <w:t>23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PAGE</w:instrText>
    </w:r>
    <w:r>
      <w:fldChar w:fldCharType="separate"/>
    </w:r>
    <w:r>
      <w:t>33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PAGE</w:instrText>
    </w:r>
    <w:r>
      <w:fldChar w:fldCharType="separate"/>
    </w:r>
    <w:r>
      <w:t>47</w:t>
    </w:r>
    <w:r>
      <w:fldChar w:fldCharType="end"/>
    </w:r>
  </w:p>
  <w:p>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PAGE</w:instrText>
    </w:r>
    <w:r>
      <w:fldChar w:fldCharType="separate"/>
    </w:r>
    <w:r>
      <w:t>48</w:t>
    </w:r>
    <w:r>
      <w:fldChar w:fldCharType="end"/>
    </w:r>
  </w:p>
  <w:p>
    <w:pPr>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000000" w:sz="4" w:space="1"/>
      </w:pBdr>
      <w:rPr>
        <w:u w:val="none"/>
      </w:rPr>
    </w:pPr>
    <w:r>
      <w:rPr>
        <w:u w:val="none"/>
      </w:rPr>
      <w:t xml:space="preserve">北京交通大学硕士学位论文                                        </w:t>
    </w:r>
    <w:r>
      <w:rPr>
        <w:rFonts w:hint="eastAsia"/>
        <w:u w:val="none"/>
      </w:rPr>
      <w:t>基站</w:t>
    </w:r>
    <w:r>
      <w:rPr>
        <w:u w:val="none"/>
      </w:rPr>
      <w:t>流量时空</w:t>
    </w:r>
    <w:r>
      <w:rPr>
        <w:rFonts w:hint="eastAsia"/>
        <w:u w:val="none"/>
      </w:rPr>
      <w:t>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000000" w:sz="4" w:space="1"/>
      </w:pBdr>
      <w:rPr>
        <w:u w:val="none"/>
      </w:rPr>
    </w:pPr>
    <w:r>
      <w:rPr>
        <w:u w:val="none"/>
      </w:rPr>
      <w:t xml:space="preserve">北京交通大学硕士学位论文                     </w:t>
    </w:r>
    <w:r>
      <w:rPr>
        <w:rFonts w:hint="eastAsia"/>
        <w:u w:val="none"/>
      </w:rPr>
      <w:t>基站长期流量变化模式聚类</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000000" w:sz="4" w:space="1"/>
      </w:pBdr>
      <w:rPr>
        <w:u w:val="none"/>
      </w:rPr>
    </w:pPr>
    <w:r>
      <w:rPr>
        <w:u w:val="none"/>
      </w:rPr>
      <w:t xml:space="preserve">北京交通大学硕士学位论文                     </w:t>
    </w:r>
    <w:r>
      <w:rPr>
        <w:rFonts w:hint="eastAsia"/>
        <w:u w:val="none"/>
      </w:rPr>
      <w:t>基站长期流量变化模式预测</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000000" w:sz="4" w:space="1"/>
      </w:pBdr>
      <w:rPr>
        <w:u w:val="none"/>
      </w:rPr>
    </w:pPr>
    <w:r>
      <w:rPr>
        <w:u w:val="none"/>
      </w:rPr>
      <w:t xml:space="preserve">北京交通大学硕士学位论文                 </w:t>
    </w:r>
    <w:r>
      <w:rPr>
        <w:rFonts w:hint="eastAsia"/>
        <w:u w:val="none"/>
      </w:rPr>
      <w:t>总结与展望</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000000" w:sz="4" w:space="1"/>
      </w:pBdr>
      <w:rPr>
        <w:u w:val="none"/>
      </w:rPr>
    </w:pPr>
    <w:r>
      <w:rPr>
        <w:u w:val="none"/>
      </w:rPr>
      <w:t xml:space="preserve">北京交通大学硕士学位论文      </w:t>
    </w:r>
    <w:bookmarkStart w:id="364" w:name="__Fieldmark__2370_438431979"/>
    <w:bookmarkEnd w:id="364"/>
    <w:r>
      <w:t xml:space="preserve">      </w:t>
    </w:r>
    <w:r>
      <w:rPr>
        <w:u w:val="none"/>
      </w:rPr>
      <w:t>参考文献</w:t>
    </w:r>
  </w:p>
  <w:p>
    <w:pPr>
      <w:ind w:firstLine="48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000000" w:sz="4" w:space="1"/>
      </w:pBdr>
    </w:pPr>
    <w:r>
      <w:rPr>
        <w:u w:val="none"/>
      </w:rPr>
      <w:t xml:space="preserve">北京交通大学硕士学位论文      </w:t>
    </w:r>
    <w:r>
      <w:fldChar w:fldCharType="begin"/>
    </w:r>
    <w:r>
      <w:instrText xml:space="preserve">STYLEREF 标题名 \* MERGEFORMAT</w:instrText>
    </w:r>
    <w:r>
      <w:fldChar w:fldCharType="separate"/>
    </w:r>
    <w:r>
      <w:rPr>
        <w:rFonts w:hint="eastAsia"/>
      </w:rPr>
      <w:t>作者简历及攻读硕士学位期间取得的研究成果</w:t>
    </w:r>
    <w:r>
      <w:fldChar w:fldCharType="end"/>
    </w:r>
    <w:bookmarkStart w:id="365" w:name="__Fieldmark__2393_438431979"/>
    <w:bookmarkEnd w:id="365"/>
    <w:r>
      <w:rPr>
        <w:u w:val="none"/>
      </w:rPr>
      <w:t>参考文献</w:t>
    </w:r>
  </w:p>
  <w:p>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000000" w:sz="4" w:space="1"/>
      </w:pBdr>
      <w:rPr>
        <w:u w:val="none"/>
      </w:rPr>
    </w:pPr>
    <w:r>
      <w:rPr>
        <w:u w:val="none"/>
      </w:rPr>
      <w:t xml:space="preserve">北京交通大学硕士学位论文                    </w:t>
    </w:r>
    <w:bookmarkStart w:id="366" w:name="__Fieldmark__2415_438431979"/>
    <w:bookmarkEnd w:id="366"/>
    <w:r>
      <w:rPr>
        <w:u w:val="none"/>
      </w:rPr>
      <w:t>独创性声明</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rPr>
        <w:u w:val="none"/>
      </w:rPr>
    </w:pPr>
    <w:r>
      <w:rPr>
        <w:rFonts w:hint="eastAsia"/>
        <w:u w:val="none"/>
      </w:rPr>
      <w:t xml:space="preserve">北京交通大学硕士专业学位论文                    </w:t>
    </w:r>
    <w:r>
      <w:rPr>
        <w:u w:val="none"/>
      </w:rPr>
      <w:fldChar w:fldCharType="begin"/>
    </w:r>
    <w:r>
      <w:rPr>
        <w:u w:val="none"/>
      </w:rPr>
      <w:instrText xml:space="preserve"> </w:instrText>
    </w:r>
    <w:r>
      <w:rPr>
        <w:rFonts w:hint="eastAsia"/>
        <w:u w:val="none"/>
      </w:rPr>
      <w:instrText xml:space="preserve">STYLEREF 标题名 \* MERGEFORMAT</w:instrText>
    </w:r>
    <w:r>
      <w:rPr>
        <w:u w:val="none"/>
      </w:rPr>
      <w:instrText xml:space="preserve"> </w:instrText>
    </w:r>
    <w:r>
      <w:rPr>
        <w:u w:val="none"/>
      </w:rPr>
      <w:fldChar w:fldCharType="separate"/>
    </w:r>
    <w:r>
      <w:rPr>
        <w:rFonts w:hint="eastAsia"/>
        <w:u w:val="none"/>
      </w:rPr>
      <w:t>学位论文数据集</w:t>
    </w:r>
    <w:r>
      <w:rPr>
        <w:u w:val="non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rPr>
        <w:u w:val="none"/>
      </w:rPr>
    </w:pPr>
    <w:r>
      <w:rPr>
        <w:rFonts w:hint="eastAsia"/>
        <w:u w:val="none"/>
      </w:rPr>
      <w:t>北京交通大学硕士专业学位论文                           摘要</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rPr>
        <w:u w:val="none"/>
      </w:rPr>
    </w:pPr>
    <w:r>
      <w:rPr>
        <w:rFonts w:hint="eastAsia"/>
        <w:u w:val="none"/>
      </w:rPr>
      <w:t>北京交通大学硕士专业学位论文                           A</w:t>
    </w:r>
    <w:r>
      <w:rPr>
        <w:u w:val="none"/>
      </w:rPr>
      <w:t>BSTRACT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rPr>
        <w:u w:val="none"/>
      </w:rPr>
    </w:pPr>
    <w:r>
      <w:rPr>
        <w:rFonts w:hint="eastAsia"/>
        <w:u w:val="none"/>
      </w:rPr>
      <w:t>北京交通大学硕士专业学位论文                           目录</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rPr>
        <w:u w:val="none"/>
      </w:rPr>
    </w:pPr>
    <w:r>
      <w:rPr>
        <w:rFonts w:hint="eastAsia"/>
        <w:u w:val="none"/>
      </w:rPr>
      <w:t>北京交通大学硕士专业学位论文                           缩略词表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rPr>
        <w:u w:val="none"/>
      </w:rPr>
    </w:pPr>
    <w:r>
      <w:rPr>
        <w:rFonts w:hint="eastAsia"/>
        <w:u w:val="none"/>
      </w:rPr>
      <w:t>北京交通大学硕士专业学位论文                           引言</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000000" w:sz="4" w:space="1"/>
      </w:pBdr>
      <w:rPr>
        <w:u w:val="none"/>
      </w:rPr>
    </w:pPr>
    <w:r>
      <w:rPr>
        <w:u w:val="none"/>
      </w:rPr>
      <w:t xml:space="preserve">北京交通大学硕士学位论文                                        </w:t>
    </w:r>
    <w:r>
      <w:rPr>
        <w:rFonts w:hint="eastAsia"/>
        <w:u w:val="none"/>
      </w:rPr>
      <w:t>技术背景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1B19BB"/>
    <w:multiLevelType w:val="singleLevel"/>
    <w:tmpl w:val="FE1B19BB"/>
    <w:lvl w:ilvl="0" w:tentative="0">
      <w:start w:val="11"/>
      <w:numFmt w:val="upperLetter"/>
      <w:suff w:val="nothing"/>
      <w:lvlText w:val="%1-"/>
      <w:lvlJc w:val="left"/>
    </w:lvl>
  </w:abstractNum>
  <w:abstractNum w:abstractNumId="1">
    <w:nsid w:val="3AA032CB"/>
    <w:multiLevelType w:val="singleLevel"/>
    <w:tmpl w:val="3AA032CB"/>
    <w:lvl w:ilvl="0" w:tentative="0">
      <w:start w:val="1"/>
      <w:numFmt w:val="decimal"/>
      <w:lvlText w:val="(%1)"/>
      <w:lvlJc w:val="left"/>
      <w:pPr>
        <w:ind w:left="425" w:hanging="425"/>
      </w:pPr>
      <w:rPr>
        <w:rFonts w:hint="default"/>
      </w:rPr>
    </w:lvl>
  </w:abstractNum>
  <w:abstractNum w:abstractNumId="2">
    <w:nsid w:val="4C51141A"/>
    <w:multiLevelType w:val="multilevel"/>
    <w:tmpl w:val="4C51141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40D427B"/>
    <w:multiLevelType w:val="multilevel"/>
    <w:tmpl w:val="540D427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6B736793"/>
    <w:multiLevelType w:val="multilevel"/>
    <w:tmpl w:val="6B736793"/>
    <w:lvl w:ilvl="0" w:tentative="0">
      <w:start w:val="5"/>
      <w:numFmt w:val="decimal"/>
      <w:lvlText w:val="%1"/>
      <w:lvlJc w:val="left"/>
      <w:pPr>
        <w:ind w:left="380" w:hanging="380"/>
      </w:pPr>
      <w:rPr>
        <w:rFonts w:hint="default"/>
      </w:rPr>
    </w:lvl>
    <w:lvl w:ilvl="1" w:tentative="0">
      <w:start w:val="4"/>
      <w:numFmt w:val="decimal"/>
      <w:lvlText w:val="%1.%2"/>
      <w:lvlJc w:val="left"/>
      <w:pPr>
        <w:ind w:left="380" w:hanging="3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74610F6E"/>
    <w:multiLevelType w:val="multilevel"/>
    <w:tmpl w:val="74610F6E"/>
    <w:lvl w:ilvl="0" w:tentative="0">
      <w:start w:val="1"/>
      <w:numFmt w:val="decimal"/>
      <w:lvlText w:val="(%1)"/>
      <w:lvlJc w:val="left"/>
      <w:pPr>
        <w:ind w:left="905" w:hanging="4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FB4"/>
    <w:rsid w:val="00001B2A"/>
    <w:rsid w:val="000073C9"/>
    <w:rsid w:val="0001287D"/>
    <w:rsid w:val="00017290"/>
    <w:rsid w:val="00017C76"/>
    <w:rsid w:val="00026468"/>
    <w:rsid w:val="00026A99"/>
    <w:rsid w:val="00036784"/>
    <w:rsid w:val="00051A39"/>
    <w:rsid w:val="000535FC"/>
    <w:rsid w:val="00054A88"/>
    <w:rsid w:val="0005676D"/>
    <w:rsid w:val="00057CE0"/>
    <w:rsid w:val="00064762"/>
    <w:rsid w:val="00065E0D"/>
    <w:rsid w:val="00070805"/>
    <w:rsid w:val="000720CC"/>
    <w:rsid w:val="0007615D"/>
    <w:rsid w:val="00084560"/>
    <w:rsid w:val="000866E9"/>
    <w:rsid w:val="000900E0"/>
    <w:rsid w:val="0009522A"/>
    <w:rsid w:val="000A1C13"/>
    <w:rsid w:val="000B32BC"/>
    <w:rsid w:val="000B4B04"/>
    <w:rsid w:val="000D255C"/>
    <w:rsid w:val="000E4D08"/>
    <w:rsid w:val="000F0473"/>
    <w:rsid w:val="000F5B2C"/>
    <w:rsid w:val="00101F08"/>
    <w:rsid w:val="00103DAD"/>
    <w:rsid w:val="001129F2"/>
    <w:rsid w:val="00117557"/>
    <w:rsid w:val="00117840"/>
    <w:rsid w:val="001316A6"/>
    <w:rsid w:val="00141FD9"/>
    <w:rsid w:val="001511D1"/>
    <w:rsid w:val="001512ED"/>
    <w:rsid w:val="00161A67"/>
    <w:rsid w:val="00166BE2"/>
    <w:rsid w:val="00167C2B"/>
    <w:rsid w:val="001711A7"/>
    <w:rsid w:val="001715F8"/>
    <w:rsid w:val="00172C9B"/>
    <w:rsid w:val="001A3109"/>
    <w:rsid w:val="001A533A"/>
    <w:rsid w:val="001A691C"/>
    <w:rsid w:val="001B3833"/>
    <w:rsid w:val="001C14DD"/>
    <w:rsid w:val="001C45C2"/>
    <w:rsid w:val="001C787D"/>
    <w:rsid w:val="001D1BFD"/>
    <w:rsid w:val="001E1DF5"/>
    <w:rsid w:val="001E21BA"/>
    <w:rsid w:val="001F078D"/>
    <w:rsid w:val="002139EA"/>
    <w:rsid w:val="0023125B"/>
    <w:rsid w:val="00240E88"/>
    <w:rsid w:val="00242DDB"/>
    <w:rsid w:val="0024355B"/>
    <w:rsid w:val="00246F96"/>
    <w:rsid w:val="00275A6A"/>
    <w:rsid w:val="0029460E"/>
    <w:rsid w:val="002951D8"/>
    <w:rsid w:val="002A00C9"/>
    <w:rsid w:val="002A5A1B"/>
    <w:rsid w:val="002A7BD9"/>
    <w:rsid w:val="002B586E"/>
    <w:rsid w:val="002C38E2"/>
    <w:rsid w:val="002C55A4"/>
    <w:rsid w:val="002C6653"/>
    <w:rsid w:val="002D197D"/>
    <w:rsid w:val="002E02AA"/>
    <w:rsid w:val="002E1BBB"/>
    <w:rsid w:val="002E7D1A"/>
    <w:rsid w:val="002F67C4"/>
    <w:rsid w:val="00300EC3"/>
    <w:rsid w:val="00306F33"/>
    <w:rsid w:val="00331E0E"/>
    <w:rsid w:val="00343855"/>
    <w:rsid w:val="00347886"/>
    <w:rsid w:val="003557C6"/>
    <w:rsid w:val="00355974"/>
    <w:rsid w:val="003561E2"/>
    <w:rsid w:val="003608AD"/>
    <w:rsid w:val="00362897"/>
    <w:rsid w:val="00362C81"/>
    <w:rsid w:val="00366F84"/>
    <w:rsid w:val="00374778"/>
    <w:rsid w:val="00375361"/>
    <w:rsid w:val="003A25DF"/>
    <w:rsid w:val="003B5352"/>
    <w:rsid w:val="003B5E94"/>
    <w:rsid w:val="003B66D0"/>
    <w:rsid w:val="003C53FC"/>
    <w:rsid w:val="003C6123"/>
    <w:rsid w:val="003E0DC8"/>
    <w:rsid w:val="003F020D"/>
    <w:rsid w:val="003F1957"/>
    <w:rsid w:val="003F2292"/>
    <w:rsid w:val="003F2C10"/>
    <w:rsid w:val="003F4782"/>
    <w:rsid w:val="003F7E12"/>
    <w:rsid w:val="00407BD3"/>
    <w:rsid w:val="0041226C"/>
    <w:rsid w:val="004146EE"/>
    <w:rsid w:val="00421C59"/>
    <w:rsid w:val="004274D3"/>
    <w:rsid w:val="00427D14"/>
    <w:rsid w:val="004301D1"/>
    <w:rsid w:val="004305B5"/>
    <w:rsid w:val="004315BB"/>
    <w:rsid w:val="00433B0A"/>
    <w:rsid w:val="00434B6B"/>
    <w:rsid w:val="00437D44"/>
    <w:rsid w:val="00444C80"/>
    <w:rsid w:val="00450A1A"/>
    <w:rsid w:val="004525B5"/>
    <w:rsid w:val="00452A0D"/>
    <w:rsid w:val="00453A09"/>
    <w:rsid w:val="00463EC1"/>
    <w:rsid w:val="00492326"/>
    <w:rsid w:val="00495B2B"/>
    <w:rsid w:val="00496396"/>
    <w:rsid w:val="004A1059"/>
    <w:rsid w:val="004A7AD1"/>
    <w:rsid w:val="004B44DD"/>
    <w:rsid w:val="004B75C9"/>
    <w:rsid w:val="004C43C4"/>
    <w:rsid w:val="004C4DEF"/>
    <w:rsid w:val="004C7919"/>
    <w:rsid w:val="004D0FC7"/>
    <w:rsid w:val="004D415B"/>
    <w:rsid w:val="004D7C5A"/>
    <w:rsid w:val="004E51BF"/>
    <w:rsid w:val="004E6967"/>
    <w:rsid w:val="004F6745"/>
    <w:rsid w:val="0050168D"/>
    <w:rsid w:val="00501865"/>
    <w:rsid w:val="005040E9"/>
    <w:rsid w:val="00505094"/>
    <w:rsid w:val="005210C6"/>
    <w:rsid w:val="00524ED4"/>
    <w:rsid w:val="00531711"/>
    <w:rsid w:val="00534C3A"/>
    <w:rsid w:val="00534CDF"/>
    <w:rsid w:val="005364A2"/>
    <w:rsid w:val="00560020"/>
    <w:rsid w:val="00562A9F"/>
    <w:rsid w:val="005966B0"/>
    <w:rsid w:val="005A17F1"/>
    <w:rsid w:val="005A24EB"/>
    <w:rsid w:val="005B112B"/>
    <w:rsid w:val="005B38C1"/>
    <w:rsid w:val="005C6D94"/>
    <w:rsid w:val="005D0EFC"/>
    <w:rsid w:val="005D68EB"/>
    <w:rsid w:val="005D7291"/>
    <w:rsid w:val="005D750F"/>
    <w:rsid w:val="005E119D"/>
    <w:rsid w:val="005F227F"/>
    <w:rsid w:val="005F6F01"/>
    <w:rsid w:val="0060285B"/>
    <w:rsid w:val="00611FAE"/>
    <w:rsid w:val="006206B9"/>
    <w:rsid w:val="006264A4"/>
    <w:rsid w:val="00630CC8"/>
    <w:rsid w:val="00631072"/>
    <w:rsid w:val="00637245"/>
    <w:rsid w:val="00642174"/>
    <w:rsid w:val="00644163"/>
    <w:rsid w:val="006514DB"/>
    <w:rsid w:val="0065285E"/>
    <w:rsid w:val="006603E4"/>
    <w:rsid w:val="0066351D"/>
    <w:rsid w:val="00663937"/>
    <w:rsid w:val="006659F8"/>
    <w:rsid w:val="00693B9D"/>
    <w:rsid w:val="006958B0"/>
    <w:rsid w:val="006A068B"/>
    <w:rsid w:val="006A6ED7"/>
    <w:rsid w:val="006A6F14"/>
    <w:rsid w:val="006B238F"/>
    <w:rsid w:val="006B2D88"/>
    <w:rsid w:val="006C17B0"/>
    <w:rsid w:val="006C529B"/>
    <w:rsid w:val="006D0938"/>
    <w:rsid w:val="006E0853"/>
    <w:rsid w:val="006E5F2D"/>
    <w:rsid w:val="006E65C7"/>
    <w:rsid w:val="00703D2D"/>
    <w:rsid w:val="00704971"/>
    <w:rsid w:val="00711B9B"/>
    <w:rsid w:val="0071363D"/>
    <w:rsid w:val="00721A69"/>
    <w:rsid w:val="00742861"/>
    <w:rsid w:val="00760C3C"/>
    <w:rsid w:val="00762A4A"/>
    <w:rsid w:val="007633C5"/>
    <w:rsid w:val="00775BAC"/>
    <w:rsid w:val="007768CF"/>
    <w:rsid w:val="007905DD"/>
    <w:rsid w:val="007934F9"/>
    <w:rsid w:val="00794FCE"/>
    <w:rsid w:val="007950CF"/>
    <w:rsid w:val="00795519"/>
    <w:rsid w:val="007A55B9"/>
    <w:rsid w:val="007A79E1"/>
    <w:rsid w:val="007C0224"/>
    <w:rsid w:val="007D008D"/>
    <w:rsid w:val="007D0845"/>
    <w:rsid w:val="007D4ABA"/>
    <w:rsid w:val="007F03E9"/>
    <w:rsid w:val="007F0D16"/>
    <w:rsid w:val="007F7315"/>
    <w:rsid w:val="007F7B20"/>
    <w:rsid w:val="00814481"/>
    <w:rsid w:val="00830305"/>
    <w:rsid w:val="00830E9C"/>
    <w:rsid w:val="00833AAF"/>
    <w:rsid w:val="00833D30"/>
    <w:rsid w:val="00840DD5"/>
    <w:rsid w:val="00841005"/>
    <w:rsid w:val="008461E8"/>
    <w:rsid w:val="00860902"/>
    <w:rsid w:val="00865970"/>
    <w:rsid w:val="008717D6"/>
    <w:rsid w:val="00875756"/>
    <w:rsid w:val="0088641E"/>
    <w:rsid w:val="008958FC"/>
    <w:rsid w:val="008A7131"/>
    <w:rsid w:val="008B4EA8"/>
    <w:rsid w:val="008C0A22"/>
    <w:rsid w:val="008E1CA4"/>
    <w:rsid w:val="008F29E7"/>
    <w:rsid w:val="008F3125"/>
    <w:rsid w:val="008F31D3"/>
    <w:rsid w:val="00901AC4"/>
    <w:rsid w:val="00905E53"/>
    <w:rsid w:val="00910A16"/>
    <w:rsid w:val="00911AB1"/>
    <w:rsid w:val="00914527"/>
    <w:rsid w:val="00922565"/>
    <w:rsid w:val="00923C82"/>
    <w:rsid w:val="00927904"/>
    <w:rsid w:val="00931D83"/>
    <w:rsid w:val="00932AE6"/>
    <w:rsid w:val="00936DA0"/>
    <w:rsid w:val="00940F1D"/>
    <w:rsid w:val="00945DE8"/>
    <w:rsid w:val="0095739C"/>
    <w:rsid w:val="009645C2"/>
    <w:rsid w:val="00967290"/>
    <w:rsid w:val="009710ED"/>
    <w:rsid w:val="00983C49"/>
    <w:rsid w:val="009843B8"/>
    <w:rsid w:val="00987341"/>
    <w:rsid w:val="00993C95"/>
    <w:rsid w:val="009A2EB2"/>
    <w:rsid w:val="009B24AB"/>
    <w:rsid w:val="009B3C4E"/>
    <w:rsid w:val="009B7BEB"/>
    <w:rsid w:val="009C07E1"/>
    <w:rsid w:val="009C1939"/>
    <w:rsid w:val="009C3E20"/>
    <w:rsid w:val="009C3FB4"/>
    <w:rsid w:val="009C5346"/>
    <w:rsid w:val="009C5F9F"/>
    <w:rsid w:val="009C6989"/>
    <w:rsid w:val="009E034D"/>
    <w:rsid w:val="009E186E"/>
    <w:rsid w:val="009E2876"/>
    <w:rsid w:val="00A1093D"/>
    <w:rsid w:val="00A211EB"/>
    <w:rsid w:val="00A26F90"/>
    <w:rsid w:val="00A27405"/>
    <w:rsid w:val="00A36586"/>
    <w:rsid w:val="00A37DFF"/>
    <w:rsid w:val="00A440CA"/>
    <w:rsid w:val="00A601A6"/>
    <w:rsid w:val="00A61786"/>
    <w:rsid w:val="00A62A4E"/>
    <w:rsid w:val="00A636C3"/>
    <w:rsid w:val="00A66A28"/>
    <w:rsid w:val="00A71F1D"/>
    <w:rsid w:val="00A9529F"/>
    <w:rsid w:val="00AA3B57"/>
    <w:rsid w:val="00AA70DD"/>
    <w:rsid w:val="00AC0E06"/>
    <w:rsid w:val="00AC4BF3"/>
    <w:rsid w:val="00AD7165"/>
    <w:rsid w:val="00AE0640"/>
    <w:rsid w:val="00AF036E"/>
    <w:rsid w:val="00AF1E92"/>
    <w:rsid w:val="00AF6ED4"/>
    <w:rsid w:val="00B01615"/>
    <w:rsid w:val="00B02201"/>
    <w:rsid w:val="00B11270"/>
    <w:rsid w:val="00B11919"/>
    <w:rsid w:val="00B23925"/>
    <w:rsid w:val="00B274F7"/>
    <w:rsid w:val="00B32DFD"/>
    <w:rsid w:val="00B3333C"/>
    <w:rsid w:val="00B3514B"/>
    <w:rsid w:val="00B36409"/>
    <w:rsid w:val="00B543C0"/>
    <w:rsid w:val="00B56203"/>
    <w:rsid w:val="00B63EB6"/>
    <w:rsid w:val="00B71187"/>
    <w:rsid w:val="00B73BD2"/>
    <w:rsid w:val="00B76255"/>
    <w:rsid w:val="00B77DD1"/>
    <w:rsid w:val="00B8058A"/>
    <w:rsid w:val="00B81AE1"/>
    <w:rsid w:val="00B86644"/>
    <w:rsid w:val="00B903EC"/>
    <w:rsid w:val="00B93ACF"/>
    <w:rsid w:val="00BA1DA1"/>
    <w:rsid w:val="00BA6B58"/>
    <w:rsid w:val="00BC057C"/>
    <w:rsid w:val="00BC2EFF"/>
    <w:rsid w:val="00BC336B"/>
    <w:rsid w:val="00BC6E03"/>
    <w:rsid w:val="00BC6F67"/>
    <w:rsid w:val="00BE197D"/>
    <w:rsid w:val="00BE249C"/>
    <w:rsid w:val="00BF0244"/>
    <w:rsid w:val="00BF24B7"/>
    <w:rsid w:val="00BF5EC8"/>
    <w:rsid w:val="00BF6450"/>
    <w:rsid w:val="00C0335B"/>
    <w:rsid w:val="00C053D8"/>
    <w:rsid w:val="00C059C7"/>
    <w:rsid w:val="00C06FB4"/>
    <w:rsid w:val="00C10F0F"/>
    <w:rsid w:val="00C167BE"/>
    <w:rsid w:val="00C16BAE"/>
    <w:rsid w:val="00C3034D"/>
    <w:rsid w:val="00C33D93"/>
    <w:rsid w:val="00C51F8E"/>
    <w:rsid w:val="00C57C8A"/>
    <w:rsid w:val="00C61F11"/>
    <w:rsid w:val="00C66D20"/>
    <w:rsid w:val="00C705AF"/>
    <w:rsid w:val="00C938AC"/>
    <w:rsid w:val="00C9466F"/>
    <w:rsid w:val="00C94F28"/>
    <w:rsid w:val="00CA0D62"/>
    <w:rsid w:val="00CA5533"/>
    <w:rsid w:val="00CB0B4D"/>
    <w:rsid w:val="00CB4EEE"/>
    <w:rsid w:val="00CB4FAB"/>
    <w:rsid w:val="00CB50C3"/>
    <w:rsid w:val="00CC06DA"/>
    <w:rsid w:val="00CD0CB2"/>
    <w:rsid w:val="00CE2E73"/>
    <w:rsid w:val="00CE46BA"/>
    <w:rsid w:val="00CE74C7"/>
    <w:rsid w:val="00CF5CE1"/>
    <w:rsid w:val="00D03714"/>
    <w:rsid w:val="00D10754"/>
    <w:rsid w:val="00D10E75"/>
    <w:rsid w:val="00D127E7"/>
    <w:rsid w:val="00D175B5"/>
    <w:rsid w:val="00D24749"/>
    <w:rsid w:val="00D3565D"/>
    <w:rsid w:val="00D45DA2"/>
    <w:rsid w:val="00D45F70"/>
    <w:rsid w:val="00D55802"/>
    <w:rsid w:val="00D7667A"/>
    <w:rsid w:val="00D86C97"/>
    <w:rsid w:val="00DA0206"/>
    <w:rsid w:val="00DA68F3"/>
    <w:rsid w:val="00DB118B"/>
    <w:rsid w:val="00DB4576"/>
    <w:rsid w:val="00DC622F"/>
    <w:rsid w:val="00DC6703"/>
    <w:rsid w:val="00DD0E81"/>
    <w:rsid w:val="00DD23F9"/>
    <w:rsid w:val="00DD6532"/>
    <w:rsid w:val="00DF016B"/>
    <w:rsid w:val="00DF07A6"/>
    <w:rsid w:val="00DF1750"/>
    <w:rsid w:val="00DF5591"/>
    <w:rsid w:val="00DF5FCC"/>
    <w:rsid w:val="00E01654"/>
    <w:rsid w:val="00E1277C"/>
    <w:rsid w:val="00E1287A"/>
    <w:rsid w:val="00E17F7D"/>
    <w:rsid w:val="00E20A36"/>
    <w:rsid w:val="00E25B5F"/>
    <w:rsid w:val="00E26DE4"/>
    <w:rsid w:val="00E343BF"/>
    <w:rsid w:val="00E34A33"/>
    <w:rsid w:val="00E400F6"/>
    <w:rsid w:val="00E40390"/>
    <w:rsid w:val="00E71718"/>
    <w:rsid w:val="00E81B82"/>
    <w:rsid w:val="00E86B8A"/>
    <w:rsid w:val="00E956BE"/>
    <w:rsid w:val="00EA2398"/>
    <w:rsid w:val="00EA7D86"/>
    <w:rsid w:val="00EB0AC6"/>
    <w:rsid w:val="00EB0D6C"/>
    <w:rsid w:val="00EB377E"/>
    <w:rsid w:val="00EB4FDC"/>
    <w:rsid w:val="00EC4066"/>
    <w:rsid w:val="00EC53E5"/>
    <w:rsid w:val="00EC56D8"/>
    <w:rsid w:val="00ED5E53"/>
    <w:rsid w:val="00ED7D39"/>
    <w:rsid w:val="00EE1DC2"/>
    <w:rsid w:val="00EE718B"/>
    <w:rsid w:val="00EF6881"/>
    <w:rsid w:val="00F015CE"/>
    <w:rsid w:val="00F015F1"/>
    <w:rsid w:val="00F033E7"/>
    <w:rsid w:val="00F03603"/>
    <w:rsid w:val="00F03D87"/>
    <w:rsid w:val="00F072A8"/>
    <w:rsid w:val="00F11761"/>
    <w:rsid w:val="00F1771A"/>
    <w:rsid w:val="00F23E57"/>
    <w:rsid w:val="00F24F26"/>
    <w:rsid w:val="00F45141"/>
    <w:rsid w:val="00F4761C"/>
    <w:rsid w:val="00F525D2"/>
    <w:rsid w:val="00F61F96"/>
    <w:rsid w:val="00F63248"/>
    <w:rsid w:val="00F71052"/>
    <w:rsid w:val="00F86FFB"/>
    <w:rsid w:val="00F91293"/>
    <w:rsid w:val="00F972C6"/>
    <w:rsid w:val="00FA4CC4"/>
    <w:rsid w:val="00FA7B14"/>
    <w:rsid w:val="00FC00E3"/>
    <w:rsid w:val="00FC0578"/>
    <w:rsid w:val="00FD41DD"/>
    <w:rsid w:val="00FD4D7F"/>
    <w:rsid w:val="00FF4107"/>
    <w:rsid w:val="01394967"/>
    <w:rsid w:val="01733A44"/>
    <w:rsid w:val="018821EA"/>
    <w:rsid w:val="025C57A9"/>
    <w:rsid w:val="029E6424"/>
    <w:rsid w:val="038F75E8"/>
    <w:rsid w:val="05012C4F"/>
    <w:rsid w:val="0719448C"/>
    <w:rsid w:val="07AF3E6B"/>
    <w:rsid w:val="0AB40415"/>
    <w:rsid w:val="0BDD6B5A"/>
    <w:rsid w:val="0C36155E"/>
    <w:rsid w:val="0D502E7E"/>
    <w:rsid w:val="0E0056EF"/>
    <w:rsid w:val="0E5709E1"/>
    <w:rsid w:val="0FB7626B"/>
    <w:rsid w:val="14F355A0"/>
    <w:rsid w:val="158132AB"/>
    <w:rsid w:val="1A7A730C"/>
    <w:rsid w:val="1C950966"/>
    <w:rsid w:val="1D451499"/>
    <w:rsid w:val="1D717994"/>
    <w:rsid w:val="1FC03EF1"/>
    <w:rsid w:val="214F3CE5"/>
    <w:rsid w:val="21BC1641"/>
    <w:rsid w:val="221C119C"/>
    <w:rsid w:val="222706AA"/>
    <w:rsid w:val="257241BC"/>
    <w:rsid w:val="28D727DD"/>
    <w:rsid w:val="29BB2034"/>
    <w:rsid w:val="2A405A7E"/>
    <w:rsid w:val="2A8B4CCF"/>
    <w:rsid w:val="2A9241E4"/>
    <w:rsid w:val="2AAD094D"/>
    <w:rsid w:val="2C381F4C"/>
    <w:rsid w:val="2C6046B8"/>
    <w:rsid w:val="2CAF045A"/>
    <w:rsid w:val="2CC54686"/>
    <w:rsid w:val="2E443BE8"/>
    <w:rsid w:val="2EF44A6C"/>
    <w:rsid w:val="30EF2C56"/>
    <w:rsid w:val="32BF6EA0"/>
    <w:rsid w:val="33C40100"/>
    <w:rsid w:val="343609A9"/>
    <w:rsid w:val="37E33226"/>
    <w:rsid w:val="38B24C1C"/>
    <w:rsid w:val="3AAD552E"/>
    <w:rsid w:val="3ADA30ED"/>
    <w:rsid w:val="3B3D077D"/>
    <w:rsid w:val="3B98400C"/>
    <w:rsid w:val="3B9A01BB"/>
    <w:rsid w:val="3C3A37DC"/>
    <w:rsid w:val="3EFE7304"/>
    <w:rsid w:val="3FB23901"/>
    <w:rsid w:val="404E6927"/>
    <w:rsid w:val="40DF5057"/>
    <w:rsid w:val="434A7811"/>
    <w:rsid w:val="44281521"/>
    <w:rsid w:val="44FA10F8"/>
    <w:rsid w:val="46016929"/>
    <w:rsid w:val="47FC2991"/>
    <w:rsid w:val="484B50A0"/>
    <w:rsid w:val="49AF7B5D"/>
    <w:rsid w:val="49B2168D"/>
    <w:rsid w:val="4A5B71E1"/>
    <w:rsid w:val="4C876DD5"/>
    <w:rsid w:val="4E102520"/>
    <w:rsid w:val="4E985D43"/>
    <w:rsid w:val="4EDD2143"/>
    <w:rsid w:val="4F077459"/>
    <w:rsid w:val="511831AE"/>
    <w:rsid w:val="51936367"/>
    <w:rsid w:val="5360720B"/>
    <w:rsid w:val="538A4E73"/>
    <w:rsid w:val="539A0A80"/>
    <w:rsid w:val="54926F1F"/>
    <w:rsid w:val="5585765F"/>
    <w:rsid w:val="566E70EB"/>
    <w:rsid w:val="56AE72C5"/>
    <w:rsid w:val="57702366"/>
    <w:rsid w:val="58C01310"/>
    <w:rsid w:val="595278A9"/>
    <w:rsid w:val="59C25EC2"/>
    <w:rsid w:val="5B173B60"/>
    <w:rsid w:val="5B2F7EBC"/>
    <w:rsid w:val="5C425DD3"/>
    <w:rsid w:val="5C94407C"/>
    <w:rsid w:val="5CDD59F1"/>
    <w:rsid w:val="5DA06199"/>
    <w:rsid w:val="5DB647F8"/>
    <w:rsid w:val="5E1A5862"/>
    <w:rsid w:val="5E751FA7"/>
    <w:rsid w:val="5E761E88"/>
    <w:rsid w:val="5FD02089"/>
    <w:rsid w:val="60B70B9D"/>
    <w:rsid w:val="61C47244"/>
    <w:rsid w:val="649F1F94"/>
    <w:rsid w:val="64AB6D60"/>
    <w:rsid w:val="64BB6F33"/>
    <w:rsid w:val="663B2595"/>
    <w:rsid w:val="69AD5CF9"/>
    <w:rsid w:val="69CD2459"/>
    <w:rsid w:val="69FB63AD"/>
    <w:rsid w:val="6B986347"/>
    <w:rsid w:val="6BB73EA6"/>
    <w:rsid w:val="6BE80BD4"/>
    <w:rsid w:val="6C8F026B"/>
    <w:rsid w:val="6D637B2E"/>
    <w:rsid w:val="6DC54F41"/>
    <w:rsid w:val="6DC74D5F"/>
    <w:rsid w:val="6E057AEE"/>
    <w:rsid w:val="6F03052D"/>
    <w:rsid w:val="709F1308"/>
    <w:rsid w:val="719D5E23"/>
    <w:rsid w:val="75DA0250"/>
    <w:rsid w:val="76BA4EE3"/>
    <w:rsid w:val="76BF1C69"/>
    <w:rsid w:val="76E74446"/>
    <w:rsid w:val="771D7D1C"/>
    <w:rsid w:val="77DF0663"/>
    <w:rsid w:val="79135436"/>
    <w:rsid w:val="797434BC"/>
    <w:rsid w:val="7BB42F8F"/>
    <w:rsid w:val="7EB50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b/>
      <w:bCs/>
      <w:kern w:val="44"/>
      <w:sz w:val="44"/>
      <w:szCs w:val="44"/>
    </w:rPr>
  </w:style>
  <w:style w:type="paragraph" w:styleId="3">
    <w:name w:val="heading 2"/>
    <w:basedOn w:val="1"/>
    <w:next w:val="1"/>
    <w:link w:val="83"/>
    <w:qFormat/>
    <w:uiPriority w:val="0"/>
    <w:pPr>
      <w:keepNext/>
      <w:keepLines/>
      <w:spacing w:before="260" w:after="260" w:line="416" w:lineRule="atLeast"/>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tLeast"/>
      <w:outlineLvl w:val="2"/>
    </w:pPr>
    <w:rPr>
      <w:b/>
      <w:bCs/>
      <w:sz w:val="32"/>
      <w:szCs w:val="32"/>
    </w:rPr>
  </w:style>
  <w:style w:type="paragraph" w:styleId="5">
    <w:name w:val="heading 4"/>
    <w:basedOn w:val="1"/>
    <w:next w:val="1"/>
    <w:qFormat/>
    <w:uiPriority w:val="0"/>
    <w:pPr>
      <w:keepNext/>
      <w:keepLines/>
      <w:spacing w:before="280" w:after="290" w:line="376" w:lineRule="atLeast"/>
      <w:ind w:firstLine="0" w:firstLineChars="0"/>
      <w:outlineLvl w:val="3"/>
    </w:pPr>
    <w:rPr>
      <w:rFonts w:ascii="Arial" w:hAnsi="Arial" w:eastAsia="黑体"/>
      <w:b/>
      <w:bCs/>
      <w:sz w:val="28"/>
      <w:szCs w:val="28"/>
    </w:rPr>
  </w:style>
  <w:style w:type="character" w:default="1" w:styleId="25">
    <w:name w:val="Default Paragraph Font"/>
    <w:semiHidden/>
    <w:unhideWhenUsed/>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6">
    <w:name w:val="toc 7"/>
    <w:basedOn w:val="1"/>
    <w:next w:val="1"/>
    <w:semiHidden/>
    <w:qFormat/>
    <w:uiPriority w:val="0"/>
    <w:pPr>
      <w:ind w:left="1440"/>
      <w:jc w:val="left"/>
    </w:pPr>
    <w:rPr>
      <w:rFonts w:ascii="Calibri" w:hAnsi="Calibri"/>
      <w:sz w:val="18"/>
      <w:szCs w:val="18"/>
    </w:rPr>
  </w:style>
  <w:style w:type="paragraph" w:styleId="7">
    <w:name w:val="Document Map"/>
    <w:basedOn w:val="1"/>
    <w:link w:val="84"/>
    <w:semiHidden/>
    <w:qFormat/>
    <w:uiPriority w:val="0"/>
    <w:pPr>
      <w:shd w:val="clear" w:color="auto" w:fill="000080"/>
    </w:pPr>
  </w:style>
  <w:style w:type="paragraph" w:styleId="8">
    <w:name w:val="Body Text Indent"/>
    <w:basedOn w:val="1"/>
    <w:link w:val="85"/>
    <w:qFormat/>
    <w:uiPriority w:val="0"/>
    <w:pPr>
      <w:ind w:firstLine="480"/>
    </w:pPr>
  </w:style>
  <w:style w:type="paragraph" w:styleId="9">
    <w:name w:val="toc 5"/>
    <w:basedOn w:val="1"/>
    <w:next w:val="1"/>
    <w:semiHidden/>
    <w:qFormat/>
    <w:uiPriority w:val="0"/>
    <w:pPr>
      <w:ind w:left="960"/>
      <w:jc w:val="left"/>
    </w:pPr>
    <w:rPr>
      <w:rFonts w:ascii="Calibri" w:hAnsi="Calibri"/>
      <w:sz w:val="18"/>
      <w:szCs w:val="18"/>
    </w:rPr>
  </w:style>
  <w:style w:type="paragraph" w:styleId="10">
    <w:name w:val="toc 3"/>
    <w:basedOn w:val="1"/>
    <w:next w:val="1"/>
    <w:qFormat/>
    <w:uiPriority w:val="39"/>
    <w:pPr>
      <w:ind w:left="480"/>
      <w:jc w:val="left"/>
    </w:pPr>
    <w:rPr>
      <w:rFonts w:ascii="Calibri" w:hAnsi="Calibri"/>
      <w:i/>
      <w:iCs/>
      <w:sz w:val="20"/>
      <w:szCs w:val="20"/>
    </w:rPr>
  </w:style>
  <w:style w:type="paragraph" w:styleId="11">
    <w:name w:val="toc 8"/>
    <w:basedOn w:val="1"/>
    <w:next w:val="1"/>
    <w:semiHidden/>
    <w:qFormat/>
    <w:uiPriority w:val="0"/>
    <w:pPr>
      <w:ind w:left="1680"/>
      <w:jc w:val="left"/>
    </w:pPr>
    <w:rPr>
      <w:rFonts w:ascii="Calibri" w:hAnsi="Calibri"/>
      <w:sz w:val="18"/>
      <w:szCs w:val="18"/>
    </w:rPr>
  </w:style>
  <w:style w:type="paragraph" w:styleId="12">
    <w:name w:val="Date"/>
    <w:basedOn w:val="1"/>
    <w:next w:val="1"/>
    <w:qFormat/>
    <w:uiPriority w:val="0"/>
    <w:pPr>
      <w:ind w:left="100" w:leftChars="2500"/>
    </w:pPr>
  </w:style>
  <w:style w:type="paragraph" w:styleId="13">
    <w:name w:val="Balloon Text"/>
    <w:basedOn w:val="1"/>
    <w:link w:val="58"/>
    <w:qFormat/>
    <w:uiPriority w:val="0"/>
    <w:pPr>
      <w:spacing w:line="240" w:lineRule="auto"/>
    </w:pPr>
    <w:rPr>
      <w:sz w:val="18"/>
      <w:szCs w:val="18"/>
    </w:rPr>
  </w:style>
  <w:style w:type="paragraph" w:styleId="14">
    <w:name w:val="footer"/>
    <w:basedOn w:val="1"/>
    <w:qFormat/>
    <w:uiPriority w:val="0"/>
    <w:pPr>
      <w:tabs>
        <w:tab w:val="center" w:pos="4153"/>
        <w:tab w:val="right" w:pos="8306"/>
      </w:tabs>
      <w:spacing w:line="240" w:lineRule="atLeast"/>
      <w:jc w:val="left"/>
    </w:pPr>
    <w:rPr>
      <w:sz w:val="18"/>
      <w:szCs w:val="18"/>
    </w:rPr>
  </w:style>
  <w:style w:type="paragraph" w:styleId="15">
    <w:name w:val="header"/>
    <w:basedOn w:val="1"/>
    <w:qFormat/>
    <w:uiPriority w:val="0"/>
    <w:pPr>
      <w:tabs>
        <w:tab w:val="center" w:pos="4153"/>
        <w:tab w:val="right" w:pos="8306"/>
      </w:tabs>
      <w:spacing w:line="240" w:lineRule="atLeast"/>
      <w:ind w:firstLine="0" w:firstLineChars="0"/>
      <w:jc w:val="distribute"/>
    </w:pPr>
    <w:rPr>
      <w:sz w:val="21"/>
      <w:szCs w:val="18"/>
      <w:u w:val="single"/>
    </w:rPr>
  </w:style>
  <w:style w:type="paragraph" w:styleId="16">
    <w:name w:val="Signature"/>
    <w:basedOn w:val="1"/>
    <w:qFormat/>
    <w:uiPriority w:val="0"/>
    <w:pPr>
      <w:ind w:left="100" w:leftChars="2100"/>
    </w:pPr>
  </w:style>
  <w:style w:type="paragraph" w:styleId="17">
    <w:name w:val="toc 1"/>
    <w:basedOn w:val="1"/>
    <w:next w:val="1"/>
    <w:qFormat/>
    <w:uiPriority w:val="39"/>
    <w:pPr>
      <w:spacing w:before="120" w:after="120"/>
      <w:jc w:val="left"/>
    </w:pPr>
    <w:rPr>
      <w:rFonts w:ascii="Calibri" w:hAnsi="Calibri"/>
      <w:b/>
      <w:bCs/>
      <w:caps/>
      <w:sz w:val="20"/>
      <w:szCs w:val="20"/>
    </w:rPr>
  </w:style>
  <w:style w:type="paragraph" w:styleId="18">
    <w:name w:val="toc 4"/>
    <w:basedOn w:val="1"/>
    <w:next w:val="1"/>
    <w:semiHidden/>
    <w:qFormat/>
    <w:uiPriority w:val="0"/>
    <w:pPr>
      <w:ind w:left="720"/>
      <w:jc w:val="left"/>
    </w:pPr>
    <w:rPr>
      <w:rFonts w:ascii="Calibri" w:hAnsi="Calibri"/>
      <w:sz w:val="18"/>
      <w:szCs w:val="18"/>
    </w:rPr>
  </w:style>
  <w:style w:type="paragraph" w:styleId="19">
    <w:name w:val="toc 6"/>
    <w:basedOn w:val="1"/>
    <w:next w:val="1"/>
    <w:semiHidden/>
    <w:qFormat/>
    <w:uiPriority w:val="0"/>
    <w:pPr>
      <w:ind w:left="1200"/>
      <w:jc w:val="left"/>
    </w:pPr>
    <w:rPr>
      <w:rFonts w:ascii="Calibri" w:hAnsi="Calibri"/>
      <w:sz w:val="18"/>
      <w:szCs w:val="18"/>
    </w:rPr>
  </w:style>
  <w:style w:type="paragraph" w:styleId="20">
    <w:name w:val="toc 2"/>
    <w:basedOn w:val="1"/>
    <w:next w:val="1"/>
    <w:qFormat/>
    <w:uiPriority w:val="39"/>
    <w:pPr>
      <w:ind w:left="240"/>
      <w:jc w:val="left"/>
    </w:pPr>
    <w:rPr>
      <w:rFonts w:ascii="Calibri" w:hAnsi="Calibri"/>
      <w:smallCaps/>
      <w:sz w:val="20"/>
      <w:szCs w:val="20"/>
    </w:rPr>
  </w:style>
  <w:style w:type="paragraph" w:styleId="21">
    <w:name w:val="toc 9"/>
    <w:basedOn w:val="1"/>
    <w:next w:val="1"/>
    <w:semiHidden/>
    <w:qFormat/>
    <w:uiPriority w:val="0"/>
    <w:pPr>
      <w:ind w:left="1920"/>
      <w:jc w:val="left"/>
    </w:pPr>
    <w:rPr>
      <w:rFonts w:ascii="Calibri" w:hAnsi="Calibri"/>
      <w:sz w:val="18"/>
      <w:szCs w:val="18"/>
    </w:rPr>
  </w:style>
  <w:style w:type="paragraph" w:styleId="22">
    <w:name w:val="HTML Preformatted"/>
    <w:basedOn w:val="1"/>
    <w:link w:val="8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23">
    <w:name w:val="Normal (Web)"/>
    <w:basedOn w:val="1"/>
    <w:unhideWhenUsed/>
    <w:qFormat/>
    <w:uiPriority w:val="99"/>
    <w:pPr>
      <w:widowControl/>
      <w:snapToGrid/>
      <w:spacing w:after="150" w:line="240" w:lineRule="auto"/>
      <w:ind w:firstLine="0"/>
      <w:jc w:val="left"/>
    </w:pPr>
    <w:rPr>
      <w:rFonts w:ascii="宋体" w:hAnsi="宋体" w:cs="宋体"/>
      <w:kern w:val="0"/>
    </w:rPr>
  </w:style>
  <w:style w:type="character" w:styleId="26">
    <w:name w:val="page number"/>
    <w:basedOn w:val="25"/>
    <w:qFormat/>
    <w:uiPriority w:val="0"/>
  </w:style>
  <w:style w:type="character" w:styleId="27">
    <w:name w:val="Hyperlink"/>
    <w:qFormat/>
    <w:uiPriority w:val="99"/>
    <w:rPr>
      <w:color w:val="0000FF"/>
      <w:u w:val="single"/>
    </w:rPr>
  </w:style>
  <w:style w:type="paragraph" w:customStyle="1" w:styleId="28">
    <w:name w:val="标题名（不入目录）"/>
    <w:basedOn w:val="1"/>
    <w:qFormat/>
    <w:uiPriority w:val="0"/>
    <w:pPr>
      <w:spacing w:before="480" w:after="360" w:line="240" w:lineRule="auto"/>
      <w:ind w:firstLine="0" w:firstLineChars="0"/>
      <w:jc w:val="center"/>
    </w:pPr>
    <w:rPr>
      <w:rFonts w:eastAsia="黑体"/>
      <w:kern w:val="0"/>
      <w:sz w:val="32"/>
    </w:rPr>
  </w:style>
  <w:style w:type="paragraph" w:customStyle="1" w:styleId="29">
    <w:name w:val="正文（结尾部分）"/>
    <w:basedOn w:val="1"/>
    <w:qFormat/>
    <w:uiPriority w:val="0"/>
    <w:pPr>
      <w:spacing w:line="320" w:lineRule="exact"/>
    </w:pPr>
    <w:rPr>
      <w:sz w:val="21"/>
    </w:rPr>
  </w:style>
  <w:style w:type="paragraph" w:customStyle="1" w:styleId="30">
    <w:name w:val="注："/>
    <w:next w:val="31"/>
    <w:qFormat/>
    <w:uiPriority w:val="0"/>
    <w:pPr>
      <w:widowControl w:val="0"/>
      <w:tabs>
        <w:tab w:val="left" w:pos="360"/>
      </w:tabs>
      <w:autoSpaceDE w:val="0"/>
      <w:autoSpaceDN w:val="0"/>
      <w:jc w:val="both"/>
    </w:pPr>
    <w:rPr>
      <w:rFonts w:ascii="宋体" w:hAnsi="Times New Roman" w:eastAsia="宋体" w:cs="Times New Roman"/>
      <w:sz w:val="18"/>
      <w:lang w:val="en-US" w:eastAsia="zh-CN" w:bidi="ar-SA"/>
    </w:rPr>
  </w:style>
  <w:style w:type="paragraph" w:customStyle="1" w:styleId="3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
    <w:name w:val="图题"/>
    <w:basedOn w:val="33"/>
    <w:qFormat/>
    <w:uiPriority w:val="0"/>
  </w:style>
  <w:style w:type="paragraph" w:customStyle="1" w:styleId="33">
    <w:name w:val="图表题"/>
    <w:basedOn w:val="1"/>
    <w:qFormat/>
    <w:uiPriority w:val="0"/>
    <w:pPr>
      <w:ind w:firstLine="0" w:firstLineChars="0"/>
      <w:jc w:val="center"/>
    </w:pPr>
    <w:rPr>
      <w:sz w:val="21"/>
    </w:rPr>
  </w:style>
  <w:style w:type="paragraph" w:customStyle="1" w:styleId="34">
    <w:name w:val="_Style 33"/>
    <w:basedOn w:val="2"/>
    <w:next w:val="1"/>
    <w:qFormat/>
    <w:uiPriority w:val="39"/>
    <w:pPr>
      <w:widowControl/>
      <w:adjustRightInd/>
      <w:snapToGrid/>
      <w:spacing w:before="480" w:after="0" w:line="276" w:lineRule="auto"/>
      <w:ind w:firstLine="0" w:firstLineChars="0"/>
      <w:jc w:val="left"/>
      <w:outlineLvl w:val="9"/>
    </w:pPr>
    <w:rPr>
      <w:rFonts w:ascii="Cambria" w:hAnsi="Cambria"/>
      <w:color w:val="365F91"/>
      <w:kern w:val="0"/>
      <w:sz w:val="28"/>
      <w:szCs w:val="28"/>
    </w:rPr>
  </w:style>
  <w:style w:type="paragraph" w:customStyle="1" w:styleId="35">
    <w:name w:val="附录五级条标题"/>
    <w:basedOn w:val="1"/>
    <w:next w:val="31"/>
    <w:qFormat/>
    <w:uiPriority w:val="0"/>
    <w:pPr>
      <w:widowControl/>
      <w:tabs>
        <w:tab w:val="left" w:pos="360"/>
      </w:tabs>
      <w:wordWrap w:val="0"/>
      <w:overflowPunct w:val="0"/>
      <w:autoSpaceDE w:val="0"/>
      <w:autoSpaceDN w:val="0"/>
      <w:adjustRightInd/>
      <w:snapToGrid/>
      <w:spacing w:line="240" w:lineRule="auto"/>
      <w:ind w:firstLine="0" w:firstLineChars="0"/>
      <w:textAlignment w:val="baseline"/>
      <w:outlineLvl w:val="6"/>
    </w:pPr>
    <w:rPr>
      <w:rFonts w:ascii="黑体" w:eastAsia="黑体"/>
      <w:kern w:val="21"/>
      <w:sz w:val="21"/>
      <w:szCs w:val="20"/>
    </w:rPr>
  </w:style>
  <w:style w:type="paragraph" w:customStyle="1" w:styleId="36">
    <w:name w:val="目次项"/>
    <w:basedOn w:val="1"/>
    <w:qFormat/>
    <w:uiPriority w:val="0"/>
    <w:pPr>
      <w:spacing w:before="120" w:line="240" w:lineRule="auto"/>
      <w:ind w:firstLine="0" w:firstLineChars="0"/>
    </w:pPr>
  </w:style>
  <w:style w:type="paragraph" w:customStyle="1" w:styleId="37">
    <w:name w:val="3级标题"/>
    <w:basedOn w:val="1"/>
    <w:qFormat/>
    <w:uiPriority w:val="0"/>
    <w:pPr>
      <w:spacing w:before="480" w:after="360" w:line="240" w:lineRule="auto"/>
      <w:ind w:firstLine="0" w:firstLineChars="0"/>
      <w:jc w:val="left"/>
      <w:outlineLvl w:val="2"/>
    </w:pPr>
    <w:rPr>
      <w:rFonts w:eastAsia="黑体"/>
      <w:sz w:val="28"/>
    </w:rPr>
  </w:style>
  <w:style w:type="paragraph" w:styleId="38">
    <w:name w:val="List Paragraph"/>
    <w:basedOn w:val="1"/>
    <w:qFormat/>
    <w:uiPriority w:val="99"/>
    <w:pPr>
      <w:ind w:firstLine="420"/>
    </w:pPr>
  </w:style>
  <w:style w:type="paragraph" w:customStyle="1" w:styleId="39">
    <w:name w:val="示例"/>
    <w:next w:val="31"/>
    <w:qFormat/>
    <w:uiPriority w:val="0"/>
    <w:pPr>
      <w:tabs>
        <w:tab w:val="left" w:pos="360"/>
        <w:tab w:val="left" w:pos="816"/>
      </w:tabs>
      <w:ind w:firstLine="419" w:firstLineChars="233"/>
      <w:jc w:val="both"/>
    </w:pPr>
    <w:rPr>
      <w:rFonts w:ascii="宋体" w:hAnsi="Times New Roman" w:eastAsia="宋体" w:cs="Times New Roman"/>
      <w:sz w:val="18"/>
      <w:lang w:val="en-US" w:eastAsia="zh-CN" w:bidi="ar-SA"/>
    </w:rPr>
  </w:style>
  <w:style w:type="paragraph" w:customStyle="1" w:styleId="40">
    <w:name w:val="2级标题"/>
    <w:basedOn w:val="1"/>
    <w:qFormat/>
    <w:uiPriority w:val="0"/>
    <w:pPr>
      <w:spacing w:before="480" w:after="360" w:line="240" w:lineRule="auto"/>
      <w:ind w:firstLine="0" w:firstLineChars="0"/>
      <w:jc w:val="left"/>
      <w:outlineLvl w:val="1"/>
    </w:pPr>
    <w:rPr>
      <w:rFonts w:eastAsia="黑体"/>
      <w:sz w:val="30"/>
    </w:rPr>
  </w:style>
  <w:style w:type="paragraph" w:customStyle="1" w:styleId="41">
    <w:name w:val="1级标题"/>
    <w:basedOn w:val="1"/>
    <w:qFormat/>
    <w:uiPriority w:val="0"/>
    <w:pPr>
      <w:tabs>
        <w:tab w:val="left" w:pos="240"/>
      </w:tabs>
      <w:spacing w:before="480" w:after="360" w:line="240" w:lineRule="auto"/>
      <w:ind w:firstLine="0" w:firstLineChars="0"/>
      <w:jc w:val="center"/>
      <w:outlineLvl w:val="0"/>
    </w:pPr>
    <w:rPr>
      <w:rFonts w:eastAsia="黑体"/>
      <w:sz w:val="32"/>
    </w:rPr>
  </w:style>
  <w:style w:type="paragraph" w:customStyle="1" w:styleId="42">
    <w:name w:val="标题名"/>
    <w:basedOn w:val="1"/>
    <w:qFormat/>
    <w:uiPriority w:val="0"/>
    <w:pPr>
      <w:spacing w:before="480" w:after="360" w:line="240" w:lineRule="auto"/>
      <w:ind w:firstLine="0" w:firstLineChars="0"/>
      <w:jc w:val="center"/>
      <w:outlineLvl w:val="0"/>
    </w:pPr>
    <w:rPr>
      <w:rFonts w:eastAsia="黑体"/>
      <w:sz w:val="32"/>
    </w:rPr>
  </w:style>
  <w:style w:type="character" w:customStyle="1" w:styleId="43">
    <w:name w:val="封面-论文英文题目"/>
    <w:qFormat/>
    <w:uiPriority w:val="0"/>
    <w:rPr>
      <w:rFonts w:ascii="Times New Roman" w:hAnsi="Times New Roman" w:eastAsia="宋体"/>
      <w:sz w:val="36"/>
    </w:rPr>
  </w:style>
  <w:style w:type="character" w:customStyle="1" w:styleId="44">
    <w:name w:val="封面3"/>
    <w:qFormat/>
    <w:uiPriority w:val="0"/>
    <w:rPr>
      <w:rFonts w:ascii="Times New Roman" w:hAnsi="Times New Roman" w:eastAsia="宋体"/>
      <w:sz w:val="30"/>
    </w:rPr>
  </w:style>
  <w:style w:type="character" w:customStyle="1" w:styleId="45">
    <w:name w:val="封面1"/>
    <w:qFormat/>
    <w:uiPriority w:val="0"/>
    <w:rPr>
      <w:rFonts w:ascii="Times New Roman" w:hAnsi="Times New Roman" w:eastAsia="楷体_GB2312"/>
      <w:spacing w:val="60"/>
      <w:kern w:val="84"/>
      <w:sz w:val="84"/>
    </w:rPr>
  </w:style>
  <w:style w:type="character" w:customStyle="1" w:styleId="46">
    <w:name w:val="题名页-学号"/>
    <w:basedOn w:val="47"/>
    <w:qFormat/>
    <w:uiPriority w:val="0"/>
    <w:rPr>
      <w:rFonts w:ascii="Times New Roman" w:hAnsi="Times New Roman" w:eastAsia="宋体"/>
      <w:sz w:val="28"/>
    </w:rPr>
  </w:style>
  <w:style w:type="character" w:customStyle="1" w:styleId="47">
    <w:name w:val="题名页4"/>
    <w:qFormat/>
    <w:uiPriority w:val="0"/>
    <w:rPr>
      <w:rFonts w:ascii="Times New Roman" w:hAnsi="Times New Roman" w:eastAsia="宋体"/>
      <w:sz w:val="28"/>
    </w:rPr>
  </w:style>
  <w:style w:type="character" w:customStyle="1" w:styleId="48">
    <w:name w:val="mi"/>
    <w:basedOn w:val="25"/>
    <w:qFormat/>
    <w:uiPriority w:val="0"/>
  </w:style>
  <w:style w:type="character" w:customStyle="1" w:styleId="49">
    <w:name w:val="封面-作者"/>
    <w:basedOn w:val="50"/>
    <w:qFormat/>
    <w:uiPriority w:val="0"/>
    <w:rPr>
      <w:rFonts w:ascii="Times New Roman" w:hAnsi="Times New Roman" w:eastAsia="宋体"/>
      <w:sz w:val="28"/>
    </w:rPr>
  </w:style>
  <w:style w:type="character" w:customStyle="1" w:styleId="50">
    <w:name w:val="封面4"/>
    <w:qFormat/>
    <w:uiPriority w:val="0"/>
    <w:rPr>
      <w:rFonts w:ascii="Times New Roman" w:hAnsi="Times New Roman" w:eastAsia="宋体"/>
      <w:sz w:val="28"/>
    </w:rPr>
  </w:style>
  <w:style w:type="character" w:customStyle="1" w:styleId="51">
    <w:name w:val="题名页-论文题目"/>
    <w:qFormat/>
    <w:uiPriority w:val="0"/>
    <w:rPr>
      <w:rFonts w:ascii="宋体" w:hAnsi="宋体" w:eastAsia="宋体"/>
      <w:sz w:val="30"/>
    </w:rPr>
  </w:style>
  <w:style w:type="character" w:customStyle="1" w:styleId="52">
    <w:name w:val="英文关键词"/>
    <w:qFormat/>
    <w:uiPriority w:val="0"/>
    <w:rPr>
      <w:rFonts w:ascii="Times New Roman" w:hAnsi="Times New Roman" w:eastAsia="宋体"/>
      <w:sz w:val="24"/>
    </w:rPr>
  </w:style>
  <w:style w:type="character" w:customStyle="1" w:styleId="53">
    <w:name w:val="题名页2"/>
    <w:qFormat/>
    <w:uiPriority w:val="0"/>
    <w:rPr>
      <w:rFonts w:ascii="Times New Roman" w:hAnsi="Times New Roman" w:eastAsia="宋体"/>
      <w:spacing w:val="60"/>
      <w:sz w:val="44"/>
    </w:rPr>
  </w:style>
  <w:style w:type="character" w:customStyle="1" w:styleId="54">
    <w:name w:val="题名页-学科专业"/>
    <w:basedOn w:val="47"/>
    <w:qFormat/>
    <w:uiPriority w:val="0"/>
    <w:rPr>
      <w:rFonts w:ascii="Times New Roman" w:hAnsi="Times New Roman" w:eastAsia="宋体"/>
      <w:sz w:val="28"/>
    </w:rPr>
  </w:style>
  <w:style w:type="character" w:customStyle="1" w:styleId="55">
    <w:name w:val="封面-日期"/>
    <w:basedOn w:val="50"/>
    <w:qFormat/>
    <w:uiPriority w:val="0"/>
    <w:rPr>
      <w:rFonts w:ascii="Times New Roman" w:hAnsi="Times New Roman" w:eastAsia="宋体"/>
      <w:sz w:val="28"/>
    </w:rPr>
  </w:style>
  <w:style w:type="character" w:customStyle="1" w:styleId="56">
    <w:name w:val="封面-论文题目"/>
    <w:qFormat/>
    <w:uiPriority w:val="0"/>
    <w:rPr>
      <w:rFonts w:ascii="Times New Roman" w:hAnsi="Times New Roman" w:eastAsia="宋体"/>
      <w:sz w:val="36"/>
    </w:rPr>
  </w:style>
  <w:style w:type="character" w:customStyle="1" w:styleId="57">
    <w:name w:val="题名页-学位级别"/>
    <w:basedOn w:val="47"/>
    <w:qFormat/>
    <w:uiPriority w:val="0"/>
    <w:rPr>
      <w:rFonts w:ascii="Times New Roman" w:hAnsi="Times New Roman" w:eastAsia="宋体"/>
      <w:sz w:val="28"/>
    </w:rPr>
  </w:style>
  <w:style w:type="character" w:customStyle="1" w:styleId="58">
    <w:name w:val="批注框文本 字符"/>
    <w:link w:val="13"/>
    <w:qFormat/>
    <w:uiPriority w:val="0"/>
    <w:rPr>
      <w:kern w:val="2"/>
      <w:sz w:val="18"/>
      <w:szCs w:val="18"/>
    </w:rPr>
  </w:style>
  <w:style w:type="character" w:customStyle="1" w:styleId="59">
    <w:name w:val="封面-培养单位"/>
    <w:basedOn w:val="50"/>
    <w:qFormat/>
    <w:uiPriority w:val="0"/>
    <w:rPr>
      <w:rFonts w:ascii="Times New Roman" w:hAnsi="Times New Roman" w:eastAsia="宋体"/>
      <w:sz w:val="28"/>
    </w:rPr>
  </w:style>
  <w:style w:type="character" w:customStyle="1" w:styleId="60">
    <w:name w:val="题名页3"/>
    <w:qFormat/>
    <w:uiPriority w:val="0"/>
    <w:rPr>
      <w:rFonts w:ascii="Times New Roman" w:hAnsi="Times New Roman" w:eastAsia="宋体"/>
      <w:sz w:val="30"/>
    </w:rPr>
  </w:style>
  <w:style w:type="character" w:customStyle="1" w:styleId="61">
    <w:name w:val="题名页-日期"/>
    <w:basedOn w:val="47"/>
    <w:qFormat/>
    <w:uiPriority w:val="0"/>
    <w:rPr>
      <w:rFonts w:ascii="Times New Roman" w:hAnsi="Times New Roman" w:eastAsia="宋体"/>
      <w:sz w:val="28"/>
    </w:rPr>
  </w:style>
  <w:style w:type="character" w:customStyle="1" w:styleId="62">
    <w:name w:val="封面-导师"/>
    <w:basedOn w:val="50"/>
    <w:qFormat/>
    <w:uiPriority w:val="0"/>
    <w:rPr>
      <w:rFonts w:ascii="Times New Roman" w:hAnsi="Times New Roman" w:eastAsia="宋体"/>
      <w:sz w:val="28"/>
    </w:rPr>
  </w:style>
  <w:style w:type="character" w:customStyle="1" w:styleId="63">
    <w:name w:val="封面2"/>
    <w:qFormat/>
    <w:uiPriority w:val="0"/>
    <w:rPr>
      <w:b/>
      <w:spacing w:val="60"/>
      <w:sz w:val="44"/>
    </w:rPr>
  </w:style>
  <w:style w:type="character" w:customStyle="1" w:styleId="64">
    <w:name w:val="题名页1"/>
    <w:qFormat/>
    <w:uiPriority w:val="0"/>
    <w:rPr>
      <w:rFonts w:ascii="Times New Roman" w:hAnsi="Times New Roman" w:eastAsia="楷体_GB2312"/>
      <w:spacing w:val="60"/>
      <w:sz w:val="84"/>
    </w:rPr>
  </w:style>
  <w:style w:type="character" w:customStyle="1" w:styleId="65">
    <w:name w:val="题名页-UDC"/>
    <w:basedOn w:val="66"/>
    <w:qFormat/>
    <w:uiPriority w:val="0"/>
    <w:rPr>
      <w:rFonts w:ascii="Times New Roman" w:hAnsi="Times New Roman" w:eastAsia="宋体"/>
      <w:sz w:val="21"/>
    </w:rPr>
  </w:style>
  <w:style w:type="character" w:customStyle="1" w:styleId="66">
    <w:name w:val="题名页5"/>
    <w:qFormat/>
    <w:uiPriority w:val="0"/>
    <w:rPr>
      <w:rFonts w:ascii="Times New Roman" w:hAnsi="Times New Roman" w:eastAsia="宋体"/>
      <w:sz w:val="21"/>
    </w:rPr>
  </w:style>
  <w:style w:type="character" w:customStyle="1" w:styleId="67">
    <w:name w:val="mtext"/>
    <w:basedOn w:val="25"/>
    <w:qFormat/>
    <w:uiPriority w:val="0"/>
  </w:style>
  <w:style w:type="character" w:customStyle="1" w:styleId="68">
    <w:name w:val="题名页-学校代码"/>
    <w:basedOn w:val="66"/>
    <w:qFormat/>
    <w:uiPriority w:val="0"/>
    <w:rPr>
      <w:rFonts w:ascii="Times New Roman" w:hAnsi="Times New Roman" w:eastAsia="宋体"/>
      <w:sz w:val="21"/>
    </w:rPr>
  </w:style>
  <w:style w:type="character" w:customStyle="1" w:styleId="69">
    <w:name w:val="题名页-学位类别"/>
    <w:basedOn w:val="47"/>
    <w:qFormat/>
    <w:uiPriority w:val="0"/>
    <w:rPr>
      <w:rFonts w:ascii="Times New Roman" w:hAnsi="Times New Roman" w:eastAsia="宋体"/>
      <w:sz w:val="28"/>
    </w:rPr>
  </w:style>
  <w:style w:type="character" w:customStyle="1" w:styleId="70">
    <w:name w:val="题名页-大学名称"/>
    <w:basedOn w:val="64"/>
    <w:qFormat/>
    <w:uiPriority w:val="0"/>
    <w:rPr>
      <w:rFonts w:ascii="Times New Roman" w:hAnsi="Times New Roman" w:eastAsia="楷体_GB2312"/>
      <w:spacing w:val="60"/>
      <w:sz w:val="84"/>
    </w:rPr>
  </w:style>
  <w:style w:type="character" w:customStyle="1" w:styleId="71">
    <w:name w:val="封面-大学名称"/>
    <w:qFormat/>
    <w:uiPriority w:val="0"/>
    <w:rPr>
      <w:rFonts w:ascii="Times New Roman" w:hAnsi="Times New Roman" w:eastAsia="楷体_GB2312"/>
      <w:spacing w:val="60"/>
      <w:kern w:val="84"/>
      <w:sz w:val="84"/>
    </w:rPr>
  </w:style>
  <w:style w:type="character" w:customStyle="1" w:styleId="72">
    <w:name w:val="题名页-作者"/>
    <w:basedOn w:val="47"/>
    <w:qFormat/>
    <w:uiPriority w:val="0"/>
    <w:rPr>
      <w:rFonts w:ascii="Times New Roman" w:hAnsi="Times New Roman" w:eastAsia="宋体"/>
      <w:sz w:val="28"/>
    </w:rPr>
  </w:style>
  <w:style w:type="character" w:customStyle="1" w:styleId="73">
    <w:name w:val="题名页-论文英文题目"/>
    <w:basedOn w:val="60"/>
    <w:qFormat/>
    <w:uiPriority w:val="0"/>
    <w:rPr>
      <w:rFonts w:ascii="Times New Roman" w:hAnsi="Times New Roman" w:eastAsia="宋体"/>
      <w:sz w:val="30"/>
    </w:rPr>
  </w:style>
  <w:style w:type="character" w:customStyle="1" w:styleId="74">
    <w:name w:val="题名页-密级"/>
    <w:basedOn w:val="66"/>
    <w:qFormat/>
    <w:uiPriority w:val="0"/>
    <w:rPr>
      <w:rFonts w:ascii="Times New Roman" w:hAnsi="Times New Roman" w:eastAsia="宋体"/>
      <w:sz w:val="21"/>
    </w:rPr>
  </w:style>
  <w:style w:type="character" w:customStyle="1" w:styleId="75">
    <w:name w:val="题名页-研究方向"/>
    <w:basedOn w:val="47"/>
    <w:qFormat/>
    <w:uiPriority w:val="0"/>
    <w:rPr>
      <w:rFonts w:ascii="Times New Roman" w:hAnsi="Times New Roman" w:eastAsia="宋体"/>
      <w:sz w:val="28"/>
    </w:rPr>
  </w:style>
  <w:style w:type="character" w:customStyle="1" w:styleId="76">
    <w:name w:val="题名页-中图分类号"/>
    <w:basedOn w:val="66"/>
    <w:qFormat/>
    <w:uiPriority w:val="0"/>
    <w:rPr>
      <w:rFonts w:ascii="Times New Roman" w:hAnsi="Times New Roman" w:eastAsia="宋体"/>
      <w:sz w:val="21"/>
    </w:rPr>
  </w:style>
  <w:style w:type="character" w:customStyle="1" w:styleId="77">
    <w:name w:val="题名页-培养单位"/>
    <w:basedOn w:val="47"/>
    <w:qFormat/>
    <w:uiPriority w:val="0"/>
    <w:rPr>
      <w:rFonts w:ascii="Times New Roman" w:hAnsi="Times New Roman" w:eastAsia="宋体"/>
      <w:sz w:val="28"/>
    </w:rPr>
  </w:style>
  <w:style w:type="character" w:customStyle="1" w:styleId="78">
    <w:name w:val="题名页-导师"/>
    <w:basedOn w:val="47"/>
    <w:qFormat/>
    <w:uiPriority w:val="0"/>
    <w:rPr>
      <w:rFonts w:ascii="Times New Roman" w:hAnsi="Times New Roman" w:eastAsia="宋体"/>
      <w:sz w:val="28"/>
    </w:rPr>
  </w:style>
  <w:style w:type="character" w:customStyle="1" w:styleId="79">
    <w:name w:val="题名页-职称"/>
    <w:basedOn w:val="47"/>
    <w:qFormat/>
    <w:uiPriority w:val="0"/>
    <w:rPr>
      <w:rFonts w:ascii="Times New Roman" w:hAnsi="Times New Roman" w:eastAsia="宋体"/>
      <w:sz w:val="28"/>
    </w:rPr>
  </w:style>
  <w:style w:type="character" w:customStyle="1" w:styleId="80">
    <w:name w:val="关键词"/>
    <w:qFormat/>
    <w:uiPriority w:val="0"/>
    <w:rPr>
      <w:rFonts w:ascii="Times New Roman" w:hAnsi="Times New Roman" w:eastAsia="宋体"/>
      <w:sz w:val="24"/>
    </w:rPr>
  </w:style>
  <w:style w:type="character" w:customStyle="1" w:styleId="81">
    <w:name w:val="mo"/>
    <w:basedOn w:val="25"/>
    <w:qFormat/>
    <w:uiPriority w:val="0"/>
  </w:style>
  <w:style w:type="character" w:customStyle="1" w:styleId="82">
    <w:name w:val="mn"/>
    <w:basedOn w:val="25"/>
    <w:qFormat/>
    <w:uiPriority w:val="0"/>
  </w:style>
  <w:style w:type="character" w:customStyle="1" w:styleId="83">
    <w:name w:val="标题 2 字符"/>
    <w:link w:val="3"/>
    <w:qFormat/>
    <w:uiPriority w:val="0"/>
    <w:rPr>
      <w:rFonts w:ascii="Arial" w:hAnsi="Arial" w:eastAsia="黑体"/>
      <w:b/>
      <w:bCs/>
      <w:sz w:val="32"/>
      <w:szCs w:val="32"/>
    </w:rPr>
  </w:style>
  <w:style w:type="character" w:customStyle="1" w:styleId="84">
    <w:name w:val="文档结构图 字符"/>
    <w:link w:val="7"/>
    <w:qFormat/>
    <w:uiPriority w:val="0"/>
  </w:style>
  <w:style w:type="character" w:customStyle="1" w:styleId="85">
    <w:name w:val="正文文本缩进 字符"/>
    <w:link w:val="8"/>
    <w:qFormat/>
    <w:uiPriority w:val="0"/>
  </w:style>
  <w:style w:type="table" w:customStyle="1" w:styleId="86">
    <w:name w:val="无格式表格 31"/>
    <w:basedOn w:val="24"/>
    <w:qFormat/>
    <w:uiPriority w:val="0"/>
    <w:rPr>
      <w:rFonts w:hint="eastAsia"/>
    </w:rPr>
    <w:tblStylePr w:type="firstRow">
      <w:rPr>
        <w:b/>
        <w:bCs/>
        <w:caps/>
      </w:rPr>
      <w:tcPr>
        <w:tcBorders>
          <w:top w:val="nil"/>
          <w:left w:val="nil"/>
          <w:bottom w:val="single" w:color="7F7F7F" w:sz="4" w:space="0"/>
          <w:right w:val="nil"/>
          <w:insideH w:val="nil"/>
          <w:insideV w:val="nil"/>
          <w:tl2br w:val="nil"/>
          <w:tr2bl w:val="nil"/>
        </w:tcBorders>
      </w:tcPr>
    </w:tblStylePr>
    <w:tblStylePr w:type="lastRow">
      <w:rPr>
        <w:b/>
        <w:bCs/>
        <w:caps/>
      </w:rPr>
      <w:tcPr>
        <w:tcBorders>
          <w:top w:val="nil"/>
          <w:left w:val="nil"/>
          <w:bottom w:val="nil"/>
          <w:right w:val="nil"/>
          <w:insideH w:val="nil"/>
          <w:insideV w:val="nil"/>
          <w:tl2br w:val="nil"/>
          <w:tr2bl w:val="nil"/>
        </w:tcBorders>
      </w:tcPr>
    </w:tblStylePr>
    <w:tblStylePr w:type="firstCol">
      <w:rPr>
        <w:b/>
        <w:bCs/>
        <w:caps/>
      </w:rPr>
      <w:tcPr>
        <w:tcBorders>
          <w:top w:val="nil"/>
          <w:left w:val="nil"/>
          <w:bottom w:val="nil"/>
          <w:right w:val="single" w:color="7F7F7F" w:sz="4" w:space="0"/>
          <w:insideH w:val="nil"/>
          <w:insideV w:val="nil"/>
          <w:tl2br w:val="nil"/>
          <w:tr2bl w:val="nil"/>
        </w:tcBorders>
      </w:tcPr>
    </w:tblStylePr>
    <w:tblStylePr w:type="lastCol">
      <w:rPr>
        <w:b/>
        <w:bCs/>
        <w:caps/>
      </w:rPr>
      <w:tcPr>
        <w:tcBorders>
          <w:top w:val="nil"/>
          <w:left w:val="nil"/>
          <w:bottom w:val="nil"/>
          <w:right w:val="nil"/>
          <w:insideH w:val="nil"/>
          <w:insideV w:val="nil"/>
          <w:tl2br w:val="nil"/>
          <w:tr2bl w:val="nil"/>
        </w:tcBorders>
      </w:tcPr>
    </w:tblStylePr>
    <w:tblStylePr w:type="band1Vert">
      <w:tcPr>
        <w:shd w:val="clear" w:color="auto" w:fill="F2F2F2"/>
      </w:tcPr>
    </w:tblStylePr>
    <w:tblStylePr w:type="band1Horz">
      <w:tcPr>
        <w:shd w:val="clear" w:color="auto" w:fill="F2F2F2"/>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style>
  <w:style w:type="character" w:customStyle="1" w:styleId="87">
    <w:name w:val="HTML 预设格式 字符"/>
    <w:basedOn w:val="25"/>
    <w:link w:val="22"/>
    <w:uiPriority w:val="99"/>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image" Target="media/image29.png"/><Relationship Id="rId67" Type="http://schemas.openxmlformats.org/officeDocument/2006/relationships/image" Target="media/image28.jpeg"/><Relationship Id="rId66" Type="http://schemas.openxmlformats.org/officeDocument/2006/relationships/image" Target="media/image27.wmf"/><Relationship Id="rId65" Type="http://schemas.openxmlformats.org/officeDocument/2006/relationships/oleObject" Target="embeddings/oleObject8.bin"/><Relationship Id="rId64" Type="http://schemas.openxmlformats.org/officeDocument/2006/relationships/image" Target="media/image26.wmf"/><Relationship Id="rId63" Type="http://schemas.openxmlformats.org/officeDocument/2006/relationships/oleObject" Target="embeddings/oleObject7.bin"/><Relationship Id="rId62" Type="http://schemas.openxmlformats.org/officeDocument/2006/relationships/image" Target="media/image25.jpeg"/><Relationship Id="rId61" Type="http://schemas.openxmlformats.org/officeDocument/2006/relationships/image" Target="media/image24.png"/><Relationship Id="rId60" Type="http://schemas.openxmlformats.org/officeDocument/2006/relationships/image" Target="media/image23.png"/><Relationship Id="rId6" Type="http://schemas.openxmlformats.org/officeDocument/2006/relationships/footer" Target="footer1.xml"/><Relationship Id="rId59" Type="http://schemas.openxmlformats.org/officeDocument/2006/relationships/image" Target="media/image22.jpeg"/><Relationship Id="rId58" Type="http://schemas.openxmlformats.org/officeDocument/2006/relationships/image" Target="media/image21.jpeg"/><Relationship Id="rId57" Type="http://schemas.openxmlformats.org/officeDocument/2006/relationships/image" Target="media/image20.jpeg"/><Relationship Id="rId56" Type="http://schemas.openxmlformats.org/officeDocument/2006/relationships/image" Target="media/image19.png"/><Relationship Id="rId55" Type="http://schemas.openxmlformats.org/officeDocument/2006/relationships/image" Target="media/image18.png"/><Relationship Id="rId54" Type="http://schemas.openxmlformats.org/officeDocument/2006/relationships/image" Target="media/image17.png"/><Relationship Id="rId53" Type="http://schemas.openxmlformats.org/officeDocument/2006/relationships/image" Target="media/image16.jpeg"/><Relationship Id="rId52" Type="http://schemas.openxmlformats.org/officeDocument/2006/relationships/image" Target="media/image15.jpeg"/><Relationship Id="rId51" Type="http://schemas.openxmlformats.org/officeDocument/2006/relationships/image" Target="media/image14.jpeg"/><Relationship Id="rId50" Type="http://schemas.openxmlformats.org/officeDocument/2006/relationships/image" Target="media/image13.png"/><Relationship Id="rId5" Type="http://schemas.openxmlformats.org/officeDocument/2006/relationships/header" Target="header3.xml"/><Relationship Id="rId49" Type="http://schemas.openxmlformats.org/officeDocument/2006/relationships/image" Target="media/image12.jpeg"/><Relationship Id="rId48" Type="http://schemas.openxmlformats.org/officeDocument/2006/relationships/image" Target="media/image11.jpeg"/><Relationship Id="rId47" Type="http://schemas.openxmlformats.org/officeDocument/2006/relationships/image" Target="media/image10.jpeg"/><Relationship Id="rId46" Type="http://schemas.openxmlformats.org/officeDocument/2006/relationships/image" Target="media/image9.jpeg"/><Relationship Id="rId45" Type="http://schemas.openxmlformats.org/officeDocument/2006/relationships/image" Target="media/image8.jpeg"/><Relationship Id="rId44" Type="http://schemas.openxmlformats.org/officeDocument/2006/relationships/image" Target="media/image7.jpeg"/><Relationship Id="rId43" Type="http://schemas.openxmlformats.org/officeDocument/2006/relationships/image" Target="media/image6.wmf"/><Relationship Id="rId42" Type="http://schemas.openxmlformats.org/officeDocument/2006/relationships/oleObject" Target="embeddings/oleObject6.bin"/><Relationship Id="rId41" Type="http://schemas.openxmlformats.org/officeDocument/2006/relationships/image" Target="media/image5.wmf"/><Relationship Id="rId40" Type="http://schemas.openxmlformats.org/officeDocument/2006/relationships/oleObject" Target="embeddings/oleObject5.bin"/><Relationship Id="rId4" Type="http://schemas.openxmlformats.org/officeDocument/2006/relationships/header" Target="header2.xml"/><Relationship Id="rId39" Type="http://schemas.openxmlformats.org/officeDocument/2006/relationships/image" Target="media/image4.wmf"/><Relationship Id="rId38" Type="http://schemas.openxmlformats.org/officeDocument/2006/relationships/oleObject" Target="embeddings/oleObject4.bin"/><Relationship Id="rId37" Type="http://schemas.openxmlformats.org/officeDocument/2006/relationships/image" Target="media/image3.wmf"/><Relationship Id="rId36" Type="http://schemas.openxmlformats.org/officeDocument/2006/relationships/oleObject" Target="embeddings/oleObject3.bin"/><Relationship Id="rId35" Type="http://schemas.openxmlformats.org/officeDocument/2006/relationships/image" Target="media/image2.wmf"/><Relationship Id="rId34" Type="http://schemas.openxmlformats.org/officeDocument/2006/relationships/oleObject" Target="embeddings/oleObject2.bin"/><Relationship Id="rId33" Type="http://schemas.openxmlformats.org/officeDocument/2006/relationships/image" Target="media/image1.wmf"/><Relationship Id="rId32" Type="http://schemas.openxmlformats.org/officeDocument/2006/relationships/oleObject" Target="embeddings/oleObject1.bin"/><Relationship Id="rId31" Type="http://schemas.openxmlformats.org/officeDocument/2006/relationships/theme" Target="theme/theme1.xml"/><Relationship Id="rId30" Type="http://schemas.openxmlformats.org/officeDocument/2006/relationships/footer" Target="footer11.xml"/><Relationship Id="rId3" Type="http://schemas.openxmlformats.org/officeDocument/2006/relationships/header" Target="header1.xml"/><Relationship Id="rId29" Type="http://schemas.openxmlformats.org/officeDocument/2006/relationships/header" Target="header17.xml"/><Relationship Id="rId28" Type="http://schemas.openxmlformats.org/officeDocument/2006/relationships/footer" Target="footer10.xml"/><Relationship Id="rId27" Type="http://schemas.openxmlformats.org/officeDocument/2006/relationships/header" Target="header16.xml"/><Relationship Id="rId26" Type="http://schemas.openxmlformats.org/officeDocument/2006/relationships/footer" Target="footer9.xml"/><Relationship Id="rId25" Type="http://schemas.openxmlformats.org/officeDocument/2006/relationships/header" Target="header15.xml"/><Relationship Id="rId24" Type="http://schemas.openxmlformats.org/officeDocument/2006/relationships/footer" Target="footer8.xml"/><Relationship Id="rId23" Type="http://schemas.openxmlformats.org/officeDocument/2006/relationships/header" Target="header14.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F20DB0-986B-45E0-AA38-D96E8B0EE4A2}">
  <ds:schemaRefs/>
</ds:datastoreItem>
</file>

<file path=docProps/app.xml><?xml version="1.0" encoding="utf-8"?>
<Properties xmlns="http://schemas.openxmlformats.org/officeDocument/2006/extended-properties" xmlns:vt="http://schemas.openxmlformats.org/officeDocument/2006/docPropsVTypes">
  <Template>Normal.dotm</Template>
  <Company>netcores</Company>
  <Pages>61</Pages>
  <Words>8586</Words>
  <Characters>48941</Characters>
  <Lines>407</Lines>
  <Paragraphs>114</Paragraphs>
  <TotalTime>4764</TotalTime>
  <ScaleCrop>false</ScaleCrop>
  <LinksUpToDate>false</LinksUpToDate>
  <CharactersWithSpaces>57413</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2014-04-20T04:32:00Z</dcterms:created>
  <dc:creator>雨林木风</dc:creator>
  <cp:lastModifiedBy>su</cp:lastModifiedBy>
  <cp:lastPrinted>2019-06-01T05:26:24Z</cp:lastPrinted>
  <dcterms:modified xsi:type="dcterms:W3CDTF">2019-06-01T05:26:36Z</dcterms:modified>
  <dc:title>中图分类号：[中图分类号]</dc:title>
  <cp:revision>145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y fmtid="{D5CDD505-2E9C-101B-9397-08002B2CF9AE}" pid="3" name="BIBFILE">
    <vt:lpwstr>E:\毕业论文和联通基站备份\毕业论文工作记录_2018.4.8\文档\毕业论文使用库\bib\big.bib</vt:lpwstr>
  </property>
  <property fmtid="{D5CDD505-2E9C-101B-9397-08002B2CF9AE}" pid="4" name="BIBSTYLE">
    <vt:lpwstr>GBT7714-2005NLang/nsch^</vt:lpwstr>
  </property>
  <property fmtid="{D5CDD505-2E9C-101B-9397-08002B2CF9AE}" pid="5" name="BIBDISP">
    <vt:lpwstr>ref</vt:lpwstr>
  </property>
</Properties>
</file>